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479F1" w14:textId="4131C0B0" w:rsidR="009366CA" w:rsidRPr="00F649F8" w:rsidRDefault="009366CA" w:rsidP="009366CA">
      <w:pPr>
        <w:shd w:val="clear" w:color="auto" w:fill="FFFFFF"/>
        <w:suppressAutoHyphens w:val="0"/>
        <w:spacing w:after="0"/>
        <w:jc w:val="center"/>
        <w:rPr>
          <w:rFonts w:ascii="Century" w:hAnsi="Century"/>
          <w:color w:val="auto"/>
          <w:sz w:val="24"/>
          <w:szCs w:val="24"/>
          <w:lang w:eastAsia="ru-RU"/>
        </w:rPr>
      </w:pPr>
      <w:bookmarkStart w:id="0" w:name="_Hlk69735875"/>
      <w:bookmarkStart w:id="1" w:name="_Hlk62647722"/>
      <w:r w:rsidRPr="00F649F8">
        <w:rPr>
          <w:rFonts w:ascii="Century" w:hAnsi="Century"/>
          <w:noProof/>
          <w:color w:val="auto"/>
          <w:sz w:val="24"/>
          <w:szCs w:val="24"/>
          <w:lang w:val="ru-RU" w:eastAsia="ru-RU"/>
        </w:rPr>
        <w:drawing>
          <wp:inline distT="0" distB="0" distL="0" distR="0" wp14:anchorId="470DA58A" wp14:editId="7A559B3F">
            <wp:extent cx="560705" cy="629920"/>
            <wp:effectExtent l="0" t="0" r="0" b="0"/>
            <wp:docPr id="5014006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705" cy="629920"/>
                    </a:xfrm>
                    <a:prstGeom prst="rect">
                      <a:avLst/>
                    </a:prstGeom>
                    <a:noFill/>
                    <a:ln>
                      <a:noFill/>
                    </a:ln>
                  </pic:spPr>
                </pic:pic>
              </a:graphicData>
            </a:graphic>
          </wp:inline>
        </w:drawing>
      </w:r>
    </w:p>
    <w:p w14:paraId="68171872" w14:textId="77777777" w:rsidR="009366CA" w:rsidRPr="00F649F8" w:rsidRDefault="009366CA" w:rsidP="009366CA">
      <w:pPr>
        <w:shd w:val="clear" w:color="auto" w:fill="FFFFFF"/>
        <w:suppressAutoHyphens w:val="0"/>
        <w:spacing w:after="0" w:line="240" w:lineRule="auto"/>
        <w:jc w:val="center"/>
        <w:rPr>
          <w:rFonts w:ascii="Century" w:hAnsi="Century"/>
          <w:color w:val="auto"/>
          <w:sz w:val="32"/>
          <w:szCs w:val="32"/>
          <w:lang w:eastAsia="ru-RU"/>
        </w:rPr>
      </w:pPr>
      <w:r w:rsidRPr="00F649F8">
        <w:rPr>
          <w:rFonts w:ascii="Century" w:hAnsi="Century"/>
          <w:color w:val="auto"/>
          <w:sz w:val="32"/>
          <w:szCs w:val="32"/>
          <w:lang w:eastAsia="ru-RU"/>
        </w:rPr>
        <w:t>УКРАЇНА</w:t>
      </w:r>
    </w:p>
    <w:p w14:paraId="5911BE08" w14:textId="77777777" w:rsidR="009366CA" w:rsidRPr="00F649F8" w:rsidRDefault="009366CA" w:rsidP="009366CA">
      <w:pPr>
        <w:shd w:val="clear" w:color="auto" w:fill="FFFFFF"/>
        <w:suppressAutoHyphens w:val="0"/>
        <w:spacing w:after="0" w:line="240" w:lineRule="auto"/>
        <w:jc w:val="center"/>
        <w:rPr>
          <w:rFonts w:ascii="Century" w:hAnsi="Century"/>
          <w:b/>
          <w:color w:val="auto"/>
          <w:sz w:val="32"/>
          <w:szCs w:val="24"/>
          <w:lang w:eastAsia="ru-RU"/>
        </w:rPr>
      </w:pPr>
      <w:r w:rsidRPr="00F649F8">
        <w:rPr>
          <w:rFonts w:ascii="Century" w:hAnsi="Century"/>
          <w:b/>
          <w:color w:val="auto"/>
          <w:sz w:val="32"/>
          <w:szCs w:val="24"/>
          <w:lang w:eastAsia="ru-RU"/>
        </w:rPr>
        <w:t>ГОРОДОЦЬКА МІСЬКА РАДА</w:t>
      </w:r>
    </w:p>
    <w:p w14:paraId="18B412F9" w14:textId="77777777" w:rsidR="009366CA" w:rsidRPr="00F649F8" w:rsidRDefault="009366CA" w:rsidP="009366CA">
      <w:pPr>
        <w:shd w:val="clear" w:color="auto" w:fill="FFFFFF"/>
        <w:suppressAutoHyphens w:val="0"/>
        <w:spacing w:after="0" w:line="240" w:lineRule="auto"/>
        <w:jc w:val="center"/>
        <w:rPr>
          <w:rFonts w:ascii="Century" w:hAnsi="Century"/>
          <w:color w:val="auto"/>
          <w:sz w:val="32"/>
          <w:szCs w:val="24"/>
          <w:lang w:eastAsia="ru-RU"/>
        </w:rPr>
      </w:pPr>
      <w:r w:rsidRPr="00F649F8">
        <w:rPr>
          <w:rFonts w:ascii="Century" w:hAnsi="Century"/>
          <w:color w:val="auto"/>
          <w:sz w:val="32"/>
          <w:szCs w:val="24"/>
          <w:lang w:eastAsia="ru-RU"/>
        </w:rPr>
        <w:t>ЛЬВІВСЬКОЇ ОБЛАСТІ</w:t>
      </w:r>
    </w:p>
    <w:p w14:paraId="4F489AAC" w14:textId="77777777" w:rsidR="009366CA" w:rsidRPr="00F649F8" w:rsidRDefault="009366CA" w:rsidP="009366CA">
      <w:pPr>
        <w:shd w:val="clear" w:color="auto" w:fill="FFFFFF"/>
        <w:suppressAutoHyphens w:val="0"/>
        <w:spacing w:after="0" w:line="240" w:lineRule="auto"/>
        <w:jc w:val="center"/>
        <w:rPr>
          <w:rFonts w:ascii="Century" w:hAnsi="Century"/>
          <w:bCs/>
          <w:color w:val="auto"/>
          <w:sz w:val="28"/>
          <w:szCs w:val="28"/>
          <w:lang w:eastAsia="ru-RU"/>
        </w:rPr>
      </w:pPr>
      <w:r w:rsidRPr="00F649F8">
        <w:rPr>
          <w:rFonts w:ascii="Century" w:hAnsi="Century"/>
          <w:bCs/>
          <w:color w:val="auto"/>
          <w:sz w:val="28"/>
          <w:szCs w:val="28"/>
          <w:lang w:eastAsia="ru-RU"/>
        </w:rPr>
        <w:t>34</w:t>
      </w:r>
      <w:r w:rsidRPr="00F649F8">
        <w:rPr>
          <w:rFonts w:ascii="Century" w:hAnsi="Century"/>
          <w:b/>
          <w:color w:val="auto"/>
          <w:sz w:val="28"/>
          <w:szCs w:val="28"/>
          <w:lang w:eastAsia="ru-RU"/>
        </w:rPr>
        <w:t xml:space="preserve"> </w:t>
      </w:r>
      <w:r w:rsidRPr="00F649F8">
        <w:rPr>
          <w:rFonts w:ascii="Century" w:hAnsi="Century"/>
          <w:bCs/>
          <w:caps/>
          <w:color w:val="auto"/>
          <w:sz w:val="28"/>
          <w:szCs w:val="28"/>
          <w:lang w:eastAsia="ru-RU"/>
        </w:rPr>
        <w:t>сесія восьмого скликання</w:t>
      </w:r>
    </w:p>
    <w:p w14:paraId="2F628583" w14:textId="77777777" w:rsidR="009366CA" w:rsidRPr="00F649F8" w:rsidRDefault="009366CA" w:rsidP="009366CA">
      <w:pPr>
        <w:suppressAutoHyphens w:val="0"/>
        <w:spacing w:after="0"/>
        <w:jc w:val="center"/>
        <w:rPr>
          <w:rFonts w:ascii="Century" w:hAnsi="Century"/>
          <w:b/>
          <w:color w:val="auto"/>
          <w:sz w:val="32"/>
          <w:szCs w:val="32"/>
          <w:lang w:eastAsia="ru-RU"/>
        </w:rPr>
      </w:pPr>
      <w:r w:rsidRPr="00F649F8">
        <w:rPr>
          <w:rFonts w:ascii="Century" w:hAnsi="Century"/>
          <w:b/>
          <w:color w:val="auto"/>
          <w:sz w:val="32"/>
          <w:szCs w:val="32"/>
          <w:lang w:eastAsia="ru-RU"/>
        </w:rPr>
        <w:t xml:space="preserve">РІШЕННЯ </w:t>
      </w:r>
      <w:r w:rsidRPr="00F649F8">
        <w:rPr>
          <w:rFonts w:ascii="Century" w:hAnsi="Century"/>
          <w:bCs/>
          <w:color w:val="auto"/>
          <w:sz w:val="32"/>
          <w:szCs w:val="32"/>
          <w:lang w:eastAsia="ru-RU"/>
        </w:rPr>
        <w:t>№</w:t>
      </w:r>
      <w:r w:rsidRPr="00F649F8">
        <w:rPr>
          <w:rFonts w:ascii="Century" w:hAnsi="Century"/>
          <w:b/>
          <w:color w:val="auto"/>
          <w:sz w:val="32"/>
          <w:szCs w:val="32"/>
          <w:lang w:eastAsia="ru-RU"/>
        </w:rPr>
        <w:t xml:space="preserve"> </w:t>
      </w:r>
    </w:p>
    <w:p w14:paraId="71A8C1F0" w14:textId="77777777" w:rsidR="009366CA" w:rsidRPr="00F649F8" w:rsidRDefault="009366CA" w:rsidP="009366CA">
      <w:pPr>
        <w:suppressAutoHyphens w:val="0"/>
        <w:spacing w:after="0" w:line="240" w:lineRule="auto"/>
        <w:jc w:val="both"/>
        <w:rPr>
          <w:rFonts w:ascii="Century" w:hAnsi="Century"/>
          <w:color w:val="auto"/>
          <w:sz w:val="28"/>
          <w:szCs w:val="28"/>
          <w:lang w:eastAsia="ru-RU"/>
        </w:rPr>
      </w:pPr>
      <w:bookmarkStart w:id="2" w:name="_Hlk69735883"/>
      <w:bookmarkEnd w:id="0"/>
      <w:r w:rsidRPr="00F649F8">
        <w:rPr>
          <w:rFonts w:ascii="Century" w:hAnsi="Century"/>
          <w:color w:val="auto"/>
          <w:sz w:val="28"/>
          <w:szCs w:val="28"/>
          <w:lang w:eastAsia="ru-RU"/>
        </w:rPr>
        <w:t>24 серпня 2023 року</w:t>
      </w:r>
      <w:r w:rsidRPr="00F649F8">
        <w:rPr>
          <w:rFonts w:ascii="Century" w:hAnsi="Century"/>
          <w:color w:val="auto"/>
          <w:sz w:val="28"/>
          <w:szCs w:val="28"/>
          <w:lang w:eastAsia="ru-RU"/>
        </w:rPr>
        <w:tab/>
      </w:r>
      <w:r w:rsidRPr="00F649F8">
        <w:rPr>
          <w:rFonts w:ascii="Century" w:hAnsi="Century"/>
          <w:color w:val="auto"/>
          <w:sz w:val="28"/>
          <w:szCs w:val="28"/>
          <w:lang w:eastAsia="ru-RU"/>
        </w:rPr>
        <w:tab/>
      </w:r>
      <w:r w:rsidRPr="00F649F8">
        <w:rPr>
          <w:rFonts w:ascii="Century" w:hAnsi="Century"/>
          <w:color w:val="auto"/>
          <w:sz w:val="28"/>
          <w:szCs w:val="28"/>
          <w:lang w:eastAsia="ru-RU"/>
        </w:rPr>
        <w:tab/>
      </w:r>
      <w:r w:rsidRPr="00F649F8">
        <w:rPr>
          <w:rFonts w:ascii="Century" w:hAnsi="Century"/>
          <w:color w:val="auto"/>
          <w:sz w:val="28"/>
          <w:szCs w:val="28"/>
          <w:lang w:eastAsia="ru-RU"/>
        </w:rPr>
        <w:tab/>
      </w:r>
      <w:r w:rsidRPr="00F649F8">
        <w:rPr>
          <w:rFonts w:ascii="Century" w:hAnsi="Century"/>
          <w:color w:val="auto"/>
          <w:sz w:val="28"/>
          <w:szCs w:val="28"/>
          <w:lang w:eastAsia="ru-RU"/>
        </w:rPr>
        <w:tab/>
      </w:r>
      <w:r w:rsidRPr="00F649F8">
        <w:rPr>
          <w:rFonts w:ascii="Century" w:hAnsi="Century"/>
          <w:color w:val="auto"/>
          <w:sz w:val="28"/>
          <w:szCs w:val="28"/>
          <w:lang w:eastAsia="ru-RU"/>
        </w:rPr>
        <w:tab/>
      </w:r>
      <w:r w:rsidRPr="00F649F8">
        <w:rPr>
          <w:rFonts w:ascii="Century" w:hAnsi="Century"/>
          <w:color w:val="auto"/>
          <w:sz w:val="28"/>
          <w:szCs w:val="28"/>
          <w:lang w:eastAsia="ru-RU"/>
        </w:rPr>
        <w:tab/>
      </w:r>
      <w:r w:rsidRPr="00F649F8">
        <w:rPr>
          <w:rFonts w:ascii="Century" w:hAnsi="Century"/>
          <w:color w:val="auto"/>
          <w:sz w:val="28"/>
          <w:szCs w:val="28"/>
          <w:lang w:eastAsia="ru-RU"/>
        </w:rPr>
        <w:tab/>
        <w:t xml:space="preserve">     м. Городок</w:t>
      </w:r>
    </w:p>
    <w:bookmarkEnd w:id="1"/>
    <w:bookmarkEnd w:id="2"/>
    <w:p w14:paraId="7224FBBC" w14:textId="77777777" w:rsidR="009366CA" w:rsidRPr="00F649F8" w:rsidRDefault="009366CA" w:rsidP="009366CA">
      <w:pPr>
        <w:suppressAutoHyphens w:val="0"/>
        <w:spacing w:after="0"/>
        <w:rPr>
          <w:rFonts w:ascii="Century" w:hAnsi="Century"/>
          <w:color w:val="auto"/>
          <w:sz w:val="32"/>
          <w:szCs w:val="32"/>
          <w:lang w:eastAsia="uk-UA"/>
        </w:rPr>
      </w:pPr>
    </w:p>
    <w:p w14:paraId="0FDA5CB4" w14:textId="74AD827C" w:rsidR="009366CA" w:rsidRPr="00F649F8" w:rsidRDefault="009366CA" w:rsidP="009366CA">
      <w:pPr>
        <w:suppressAutoHyphens w:val="0"/>
        <w:spacing w:after="160" w:line="240" w:lineRule="auto"/>
        <w:ind w:right="5388"/>
        <w:rPr>
          <w:rFonts w:ascii="Century" w:hAnsi="Century"/>
          <w:b/>
          <w:bCs/>
          <w:color w:val="auto"/>
          <w:sz w:val="28"/>
          <w:szCs w:val="28"/>
        </w:rPr>
      </w:pPr>
      <w:r w:rsidRPr="00F649F8">
        <w:rPr>
          <w:rFonts w:ascii="Century" w:hAnsi="Century"/>
          <w:b/>
          <w:bCs/>
          <w:color w:val="auto"/>
          <w:sz w:val="28"/>
          <w:szCs w:val="28"/>
        </w:rPr>
        <w:t xml:space="preserve">Про затвердження Програми </w:t>
      </w:r>
      <w:bookmarkStart w:id="3" w:name="_Hlk143519544"/>
      <w:r w:rsidRPr="00F649F8">
        <w:rPr>
          <w:rFonts w:ascii="Century" w:hAnsi="Century"/>
          <w:b/>
          <w:bCs/>
          <w:color w:val="auto"/>
          <w:sz w:val="28"/>
          <w:szCs w:val="28"/>
        </w:rPr>
        <w:t>«Забезпечення діяльності Відділу державного нагляду (контролю) у Львівській області Державної служби України з безпеки на транспорті на 2023 рік»</w:t>
      </w:r>
      <w:bookmarkEnd w:id="3"/>
    </w:p>
    <w:p w14:paraId="47230D2D" w14:textId="63C00F6E" w:rsidR="009366CA" w:rsidRPr="00F649F8" w:rsidRDefault="009366CA" w:rsidP="009366CA">
      <w:pPr>
        <w:suppressAutoHyphens w:val="0"/>
        <w:spacing w:after="160" w:line="259" w:lineRule="auto"/>
        <w:ind w:firstLine="708"/>
        <w:jc w:val="both"/>
        <w:rPr>
          <w:rFonts w:ascii="Century" w:hAnsi="Century"/>
          <w:color w:val="auto"/>
          <w:sz w:val="28"/>
          <w:szCs w:val="28"/>
        </w:rPr>
      </w:pPr>
      <w:r w:rsidRPr="00F649F8">
        <w:rPr>
          <w:rFonts w:ascii="Century" w:hAnsi="Century"/>
          <w:color w:val="auto"/>
          <w:sz w:val="28"/>
          <w:szCs w:val="28"/>
        </w:rPr>
        <w:t>З метою покращення реалізації державної політики з питань безпеки на наземному транспорті, керуючись п.22, ч.1, ст.26 Закону України «Про місцеве самоврядування в Україні», враховуючи рекомендації постійної комісії міської ради з питань бюджету, соціально-економічного розвитку, комунального майна і приватизації, міська рада</w:t>
      </w:r>
    </w:p>
    <w:p w14:paraId="26BD627F" w14:textId="77777777" w:rsidR="009366CA" w:rsidRPr="00F649F8" w:rsidRDefault="009366CA" w:rsidP="009366CA">
      <w:pPr>
        <w:suppressAutoHyphens w:val="0"/>
        <w:spacing w:after="160" w:line="259" w:lineRule="auto"/>
        <w:rPr>
          <w:rFonts w:ascii="Century" w:hAnsi="Century"/>
          <w:b/>
          <w:bCs/>
          <w:color w:val="auto"/>
          <w:sz w:val="28"/>
          <w:szCs w:val="28"/>
        </w:rPr>
      </w:pPr>
      <w:r w:rsidRPr="00F649F8">
        <w:rPr>
          <w:rFonts w:ascii="Century" w:hAnsi="Century"/>
          <w:b/>
          <w:bCs/>
          <w:color w:val="auto"/>
          <w:sz w:val="28"/>
          <w:szCs w:val="28"/>
        </w:rPr>
        <w:t>В И Р І Ш И Л А:</w:t>
      </w:r>
    </w:p>
    <w:p w14:paraId="4A78723C" w14:textId="0875117A" w:rsidR="009366CA" w:rsidRPr="00F649F8" w:rsidRDefault="009366CA" w:rsidP="009366CA">
      <w:pPr>
        <w:numPr>
          <w:ilvl w:val="0"/>
          <w:numId w:val="1"/>
        </w:numPr>
        <w:suppressAutoHyphens w:val="0"/>
        <w:spacing w:after="160" w:line="259" w:lineRule="auto"/>
        <w:ind w:left="0" w:firstLine="0"/>
        <w:contextualSpacing/>
        <w:jc w:val="both"/>
        <w:rPr>
          <w:rFonts w:ascii="Century" w:hAnsi="Century"/>
          <w:color w:val="auto"/>
          <w:sz w:val="28"/>
          <w:szCs w:val="28"/>
        </w:rPr>
      </w:pPr>
      <w:r w:rsidRPr="00F649F8">
        <w:rPr>
          <w:rFonts w:ascii="Century" w:hAnsi="Century"/>
          <w:color w:val="auto"/>
          <w:sz w:val="28"/>
          <w:szCs w:val="28"/>
        </w:rPr>
        <w:t>Затвердити  Програму «Забезпечення діяльності Відділу державного нагляду (контролю) у Львівській області Державної служби України з безпеки на транспорті на 2023 рік» (додається).</w:t>
      </w:r>
    </w:p>
    <w:p w14:paraId="4E627493" w14:textId="77777777" w:rsidR="009366CA" w:rsidRPr="00F649F8" w:rsidRDefault="009366CA" w:rsidP="009366CA">
      <w:pPr>
        <w:suppressAutoHyphens w:val="0"/>
        <w:spacing w:after="160" w:line="259" w:lineRule="auto"/>
        <w:contextualSpacing/>
        <w:jc w:val="both"/>
        <w:rPr>
          <w:rFonts w:ascii="Century" w:hAnsi="Century"/>
          <w:color w:val="auto"/>
          <w:sz w:val="28"/>
          <w:szCs w:val="28"/>
        </w:rPr>
      </w:pPr>
    </w:p>
    <w:p w14:paraId="09C3484F" w14:textId="77777777" w:rsidR="009366CA" w:rsidRPr="00F649F8" w:rsidRDefault="009366CA" w:rsidP="009366CA">
      <w:pPr>
        <w:numPr>
          <w:ilvl w:val="0"/>
          <w:numId w:val="1"/>
        </w:numPr>
        <w:suppressAutoHyphens w:val="0"/>
        <w:spacing w:after="160" w:line="259" w:lineRule="auto"/>
        <w:ind w:left="0" w:firstLine="0"/>
        <w:contextualSpacing/>
        <w:jc w:val="both"/>
        <w:rPr>
          <w:rFonts w:ascii="Century" w:hAnsi="Century"/>
          <w:color w:val="auto"/>
          <w:sz w:val="28"/>
          <w:szCs w:val="28"/>
        </w:rPr>
      </w:pPr>
      <w:r w:rsidRPr="00F649F8">
        <w:rPr>
          <w:rFonts w:ascii="Century" w:hAnsi="Century"/>
          <w:color w:val="auto"/>
          <w:sz w:val="28"/>
          <w:szCs w:val="28"/>
        </w:rPr>
        <w:t xml:space="preserve"> Контроль за виконанням   рішення покласти на комісію  з питань бюджету, соціально-економічного розвитку, комунального майна і приватизації (І.С. </w:t>
      </w:r>
      <w:proofErr w:type="spellStart"/>
      <w:r w:rsidRPr="00F649F8">
        <w:rPr>
          <w:rFonts w:ascii="Century" w:hAnsi="Century"/>
          <w:color w:val="auto"/>
          <w:sz w:val="28"/>
          <w:szCs w:val="28"/>
        </w:rPr>
        <w:t>Мєскало</w:t>
      </w:r>
      <w:proofErr w:type="spellEnd"/>
      <w:r w:rsidRPr="00F649F8">
        <w:rPr>
          <w:rFonts w:ascii="Century" w:hAnsi="Century"/>
          <w:color w:val="auto"/>
          <w:sz w:val="28"/>
          <w:szCs w:val="28"/>
        </w:rPr>
        <w:t>).</w:t>
      </w:r>
    </w:p>
    <w:p w14:paraId="23B9B061" w14:textId="77777777" w:rsidR="009366CA" w:rsidRPr="00F649F8" w:rsidRDefault="009366CA" w:rsidP="009366CA">
      <w:pPr>
        <w:suppressAutoHyphens w:val="0"/>
        <w:spacing w:after="160" w:line="259" w:lineRule="auto"/>
        <w:contextualSpacing/>
        <w:rPr>
          <w:rFonts w:ascii="Century" w:hAnsi="Century"/>
          <w:color w:val="auto"/>
          <w:sz w:val="28"/>
          <w:szCs w:val="28"/>
        </w:rPr>
      </w:pPr>
    </w:p>
    <w:p w14:paraId="25B03D20" w14:textId="77777777" w:rsidR="009366CA" w:rsidRPr="00F649F8" w:rsidRDefault="009366CA" w:rsidP="009366CA">
      <w:pPr>
        <w:suppressAutoHyphens w:val="0"/>
        <w:spacing w:after="160" w:line="259" w:lineRule="auto"/>
        <w:contextualSpacing/>
        <w:rPr>
          <w:rFonts w:ascii="Century" w:hAnsi="Century"/>
          <w:color w:val="auto"/>
          <w:sz w:val="28"/>
          <w:szCs w:val="28"/>
        </w:rPr>
      </w:pPr>
    </w:p>
    <w:p w14:paraId="7525BDD4" w14:textId="0D0D03D6" w:rsidR="009366CA" w:rsidRPr="00F649F8" w:rsidRDefault="009366CA" w:rsidP="009366CA">
      <w:pPr>
        <w:suppressAutoHyphens w:val="0"/>
        <w:spacing w:after="160" w:line="259" w:lineRule="auto"/>
        <w:contextualSpacing/>
        <w:rPr>
          <w:rFonts w:ascii="Century" w:hAnsi="Century"/>
          <w:b/>
          <w:bCs/>
          <w:color w:val="auto"/>
          <w:sz w:val="28"/>
          <w:szCs w:val="28"/>
        </w:rPr>
      </w:pPr>
      <w:r w:rsidRPr="00F649F8">
        <w:rPr>
          <w:rFonts w:ascii="Century" w:hAnsi="Century"/>
          <w:b/>
          <w:bCs/>
          <w:color w:val="auto"/>
          <w:sz w:val="28"/>
          <w:szCs w:val="28"/>
        </w:rPr>
        <w:t>Міський голова</w:t>
      </w:r>
      <w:r w:rsidRPr="00F649F8">
        <w:rPr>
          <w:rFonts w:ascii="Century" w:hAnsi="Century"/>
          <w:b/>
          <w:bCs/>
          <w:color w:val="auto"/>
          <w:sz w:val="28"/>
          <w:szCs w:val="28"/>
        </w:rPr>
        <w:tab/>
      </w:r>
      <w:r w:rsidRPr="00F649F8">
        <w:rPr>
          <w:rFonts w:ascii="Century" w:hAnsi="Century"/>
          <w:b/>
          <w:bCs/>
          <w:color w:val="auto"/>
          <w:sz w:val="28"/>
          <w:szCs w:val="28"/>
        </w:rPr>
        <w:tab/>
      </w:r>
      <w:r w:rsidRPr="00F649F8">
        <w:rPr>
          <w:rFonts w:ascii="Century" w:hAnsi="Century"/>
          <w:b/>
          <w:bCs/>
          <w:color w:val="auto"/>
          <w:sz w:val="28"/>
          <w:szCs w:val="28"/>
        </w:rPr>
        <w:tab/>
      </w:r>
      <w:r w:rsidRPr="00F649F8">
        <w:rPr>
          <w:rFonts w:ascii="Century" w:hAnsi="Century"/>
          <w:b/>
          <w:bCs/>
          <w:color w:val="auto"/>
          <w:sz w:val="28"/>
          <w:szCs w:val="28"/>
        </w:rPr>
        <w:tab/>
      </w:r>
      <w:r w:rsidRPr="00F649F8">
        <w:rPr>
          <w:rFonts w:ascii="Century" w:hAnsi="Century"/>
          <w:b/>
          <w:bCs/>
          <w:color w:val="auto"/>
          <w:sz w:val="28"/>
          <w:szCs w:val="28"/>
        </w:rPr>
        <w:tab/>
      </w:r>
      <w:r w:rsidRPr="00F649F8">
        <w:rPr>
          <w:rFonts w:ascii="Century" w:hAnsi="Century"/>
          <w:b/>
          <w:bCs/>
          <w:color w:val="auto"/>
          <w:sz w:val="28"/>
          <w:szCs w:val="28"/>
        </w:rPr>
        <w:tab/>
      </w:r>
      <w:r w:rsidRPr="00F649F8">
        <w:rPr>
          <w:rFonts w:ascii="Century" w:hAnsi="Century"/>
          <w:b/>
          <w:bCs/>
          <w:color w:val="auto"/>
          <w:sz w:val="28"/>
          <w:szCs w:val="28"/>
        </w:rPr>
        <w:tab/>
        <w:t>Володимир РЕМЕНЯК</w:t>
      </w:r>
    </w:p>
    <w:p w14:paraId="4758F385" w14:textId="77777777" w:rsidR="009366CA" w:rsidRPr="00F649F8" w:rsidRDefault="009366CA">
      <w:pPr>
        <w:suppressAutoHyphens w:val="0"/>
        <w:spacing w:after="0" w:line="240" w:lineRule="auto"/>
        <w:rPr>
          <w:rFonts w:ascii="Century" w:hAnsi="Century"/>
          <w:b/>
          <w:bCs/>
          <w:color w:val="auto"/>
          <w:sz w:val="28"/>
          <w:szCs w:val="28"/>
        </w:rPr>
      </w:pPr>
      <w:r w:rsidRPr="00F649F8">
        <w:rPr>
          <w:rFonts w:ascii="Century" w:hAnsi="Century"/>
          <w:b/>
          <w:bCs/>
          <w:color w:val="auto"/>
          <w:sz w:val="28"/>
          <w:szCs w:val="28"/>
        </w:rPr>
        <w:br w:type="page"/>
      </w:r>
    </w:p>
    <w:p w14:paraId="3175BE29" w14:textId="2433D863" w:rsidR="009366CA" w:rsidRPr="00F649F8" w:rsidRDefault="009366CA" w:rsidP="009366CA">
      <w:pPr>
        <w:suppressAutoHyphens w:val="0"/>
        <w:spacing w:after="160" w:line="259" w:lineRule="auto"/>
        <w:ind w:left="5103"/>
        <w:contextualSpacing/>
        <w:rPr>
          <w:rFonts w:ascii="Century" w:hAnsi="Century"/>
          <w:b/>
          <w:bCs/>
          <w:color w:val="auto"/>
          <w:sz w:val="28"/>
          <w:szCs w:val="28"/>
        </w:rPr>
      </w:pPr>
      <w:r w:rsidRPr="00F649F8">
        <w:rPr>
          <w:rFonts w:ascii="Century" w:hAnsi="Century"/>
          <w:b/>
          <w:bCs/>
          <w:color w:val="auto"/>
          <w:sz w:val="28"/>
          <w:szCs w:val="28"/>
        </w:rPr>
        <w:lastRenderedPageBreak/>
        <w:t>ЗАТВЕРДЖЕНО</w:t>
      </w:r>
    </w:p>
    <w:p w14:paraId="69E56C94" w14:textId="5081A7E0" w:rsidR="009366CA" w:rsidRPr="00F649F8" w:rsidRDefault="009366CA" w:rsidP="009366CA">
      <w:pPr>
        <w:suppressAutoHyphens w:val="0"/>
        <w:spacing w:after="160" w:line="259" w:lineRule="auto"/>
        <w:ind w:left="5103"/>
        <w:contextualSpacing/>
        <w:rPr>
          <w:rFonts w:ascii="Century" w:hAnsi="Century"/>
          <w:color w:val="auto"/>
          <w:sz w:val="28"/>
          <w:szCs w:val="28"/>
        </w:rPr>
      </w:pPr>
      <w:r w:rsidRPr="00F649F8">
        <w:rPr>
          <w:rFonts w:ascii="Century" w:hAnsi="Century"/>
          <w:color w:val="auto"/>
          <w:sz w:val="28"/>
          <w:szCs w:val="28"/>
        </w:rPr>
        <w:t>Рішення сесії Городоцької міської ради Львівської області</w:t>
      </w:r>
    </w:p>
    <w:p w14:paraId="6840F2C0" w14:textId="7152AC78" w:rsidR="009366CA" w:rsidRPr="00F649F8" w:rsidRDefault="009366CA" w:rsidP="009366CA">
      <w:pPr>
        <w:suppressAutoHyphens w:val="0"/>
        <w:spacing w:after="160" w:line="259" w:lineRule="auto"/>
        <w:ind w:left="5103"/>
        <w:contextualSpacing/>
        <w:rPr>
          <w:rFonts w:ascii="Century" w:hAnsi="Century"/>
          <w:color w:val="auto"/>
          <w:sz w:val="28"/>
          <w:szCs w:val="28"/>
        </w:rPr>
      </w:pPr>
      <w:r w:rsidRPr="00F649F8">
        <w:rPr>
          <w:rFonts w:ascii="Century" w:hAnsi="Century"/>
          <w:color w:val="auto"/>
          <w:sz w:val="28"/>
          <w:szCs w:val="28"/>
        </w:rPr>
        <w:t xml:space="preserve">24.08.2023р. № </w:t>
      </w:r>
    </w:p>
    <w:p w14:paraId="4DB42776" w14:textId="77777777" w:rsidR="00C02604" w:rsidRPr="00F649F8" w:rsidRDefault="00C02604">
      <w:pPr>
        <w:rPr>
          <w:rFonts w:ascii="Century" w:hAnsi="Century"/>
        </w:rPr>
      </w:pPr>
    </w:p>
    <w:p w14:paraId="71CAD5C7" w14:textId="77777777" w:rsidR="009366CA" w:rsidRPr="00F649F8" w:rsidRDefault="009366CA">
      <w:pPr>
        <w:rPr>
          <w:rFonts w:ascii="Century" w:hAnsi="Century"/>
        </w:rPr>
      </w:pPr>
    </w:p>
    <w:p w14:paraId="54EC9D05" w14:textId="0A681B09" w:rsidR="009366CA" w:rsidRPr="00F649F8" w:rsidRDefault="009366CA" w:rsidP="009366CA">
      <w:pPr>
        <w:jc w:val="center"/>
        <w:rPr>
          <w:rFonts w:ascii="Century" w:hAnsi="Century"/>
          <w:b/>
          <w:bCs/>
          <w:sz w:val="32"/>
          <w:szCs w:val="32"/>
        </w:rPr>
      </w:pPr>
      <w:r w:rsidRPr="00F649F8">
        <w:rPr>
          <w:rFonts w:ascii="Century" w:hAnsi="Century"/>
          <w:b/>
          <w:bCs/>
          <w:sz w:val="32"/>
          <w:szCs w:val="32"/>
        </w:rPr>
        <w:t>ПРОГРАМА</w:t>
      </w:r>
    </w:p>
    <w:p w14:paraId="303111A6" w14:textId="70BBBBAF" w:rsidR="009366CA" w:rsidRPr="00F649F8" w:rsidRDefault="009366CA" w:rsidP="009366CA">
      <w:pPr>
        <w:jc w:val="center"/>
        <w:rPr>
          <w:rFonts w:ascii="Century" w:hAnsi="Century"/>
          <w:sz w:val="32"/>
          <w:szCs w:val="32"/>
        </w:rPr>
      </w:pPr>
      <w:r w:rsidRPr="00F649F8">
        <w:rPr>
          <w:rFonts w:ascii="Century" w:hAnsi="Century"/>
          <w:sz w:val="32"/>
          <w:szCs w:val="32"/>
        </w:rPr>
        <w:t>«Забезпечення діяльності Відділу державного нагляду (контролю) у Львівській області Державної служби України з безпеки на транспорті на 2023 рік»</w:t>
      </w:r>
    </w:p>
    <w:p w14:paraId="6BD6B1BA" w14:textId="77777777" w:rsidR="009366CA" w:rsidRPr="00F649F8" w:rsidRDefault="009366CA" w:rsidP="009366CA">
      <w:pPr>
        <w:jc w:val="center"/>
        <w:rPr>
          <w:rFonts w:ascii="Century" w:hAnsi="Century"/>
          <w:sz w:val="32"/>
          <w:szCs w:val="32"/>
        </w:rPr>
      </w:pPr>
    </w:p>
    <w:p w14:paraId="44C60067" w14:textId="77777777" w:rsidR="009366CA" w:rsidRPr="00F649F8" w:rsidRDefault="009366CA">
      <w:pPr>
        <w:rPr>
          <w:rFonts w:ascii="Century" w:hAnsi="Century"/>
          <w:sz w:val="32"/>
          <w:szCs w:val="32"/>
        </w:rPr>
      </w:pPr>
    </w:p>
    <w:p w14:paraId="5341EAD0" w14:textId="77777777" w:rsidR="009366CA" w:rsidRPr="00F649F8" w:rsidRDefault="009366CA">
      <w:pPr>
        <w:rPr>
          <w:rFonts w:ascii="Century" w:hAnsi="Century"/>
          <w:sz w:val="32"/>
          <w:szCs w:val="32"/>
        </w:rPr>
      </w:pPr>
    </w:p>
    <w:p w14:paraId="23C1F06B" w14:textId="77777777" w:rsidR="009366CA" w:rsidRPr="00F649F8" w:rsidRDefault="009366CA">
      <w:pPr>
        <w:rPr>
          <w:rFonts w:ascii="Century" w:hAnsi="Century"/>
          <w:sz w:val="32"/>
          <w:szCs w:val="32"/>
        </w:rPr>
      </w:pPr>
    </w:p>
    <w:p w14:paraId="1C4C00F7" w14:textId="77777777" w:rsidR="009366CA" w:rsidRPr="00F649F8" w:rsidRDefault="009366CA">
      <w:pPr>
        <w:rPr>
          <w:rFonts w:ascii="Century" w:hAnsi="Century"/>
          <w:sz w:val="32"/>
          <w:szCs w:val="32"/>
        </w:rPr>
      </w:pPr>
    </w:p>
    <w:p w14:paraId="33E2BC6E" w14:textId="77777777" w:rsidR="009366CA" w:rsidRPr="00F649F8" w:rsidRDefault="009366CA">
      <w:pPr>
        <w:rPr>
          <w:rFonts w:ascii="Century" w:hAnsi="Century"/>
          <w:sz w:val="32"/>
          <w:szCs w:val="32"/>
        </w:rPr>
      </w:pPr>
    </w:p>
    <w:p w14:paraId="36375C27" w14:textId="77777777" w:rsidR="009366CA" w:rsidRPr="00F649F8" w:rsidRDefault="009366CA">
      <w:pPr>
        <w:rPr>
          <w:rFonts w:ascii="Century" w:hAnsi="Century"/>
          <w:sz w:val="32"/>
          <w:szCs w:val="32"/>
        </w:rPr>
      </w:pPr>
    </w:p>
    <w:p w14:paraId="4AD52DD7" w14:textId="77777777" w:rsidR="009366CA" w:rsidRPr="00F649F8" w:rsidRDefault="009366CA">
      <w:pPr>
        <w:rPr>
          <w:rFonts w:ascii="Century" w:hAnsi="Century"/>
          <w:sz w:val="32"/>
          <w:szCs w:val="32"/>
        </w:rPr>
      </w:pPr>
    </w:p>
    <w:p w14:paraId="60B582D6" w14:textId="77777777" w:rsidR="009366CA" w:rsidRPr="00F649F8" w:rsidRDefault="009366CA">
      <w:pPr>
        <w:rPr>
          <w:rFonts w:ascii="Century" w:hAnsi="Century"/>
          <w:sz w:val="32"/>
          <w:szCs w:val="32"/>
        </w:rPr>
      </w:pPr>
    </w:p>
    <w:p w14:paraId="09E7E402" w14:textId="77777777" w:rsidR="009366CA" w:rsidRPr="00F649F8" w:rsidRDefault="009366CA">
      <w:pPr>
        <w:rPr>
          <w:rFonts w:ascii="Century" w:hAnsi="Century"/>
          <w:sz w:val="32"/>
          <w:szCs w:val="32"/>
        </w:rPr>
      </w:pPr>
    </w:p>
    <w:p w14:paraId="14C2008F" w14:textId="77777777" w:rsidR="009366CA" w:rsidRPr="00F649F8" w:rsidRDefault="009366CA">
      <w:pPr>
        <w:rPr>
          <w:rFonts w:ascii="Century" w:hAnsi="Century"/>
          <w:sz w:val="32"/>
          <w:szCs w:val="32"/>
        </w:rPr>
      </w:pPr>
    </w:p>
    <w:p w14:paraId="11481FDB" w14:textId="77777777" w:rsidR="009366CA" w:rsidRPr="00F649F8" w:rsidRDefault="009366CA">
      <w:pPr>
        <w:rPr>
          <w:rFonts w:ascii="Century" w:hAnsi="Century"/>
          <w:sz w:val="32"/>
          <w:szCs w:val="32"/>
        </w:rPr>
      </w:pPr>
    </w:p>
    <w:p w14:paraId="31316C67" w14:textId="77777777" w:rsidR="009366CA" w:rsidRPr="00F649F8" w:rsidRDefault="009366CA">
      <w:pPr>
        <w:rPr>
          <w:rFonts w:ascii="Century" w:hAnsi="Century"/>
          <w:sz w:val="32"/>
          <w:szCs w:val="32"/>
        </w:rPr>
      </w:pPr>
    </w:p>
    <w:p w14:paraId="73226156" w14:textId="0BAC8F28" w:rsidR="009366CA" w:rsidRPr="00F649F8" w:rsidRDefault="009366CA" w:rsidP="009366CA">
      <w:pPr>
        <w:jc w:val="center"/>
        <w:rPr>
          <w:rFonts w:ascii="Century" w:hAnsi="Century"/>
          <w:sz w:val="32"/>
          <w:szCs w:val="32"/>
        </w:rPr>
      </w:pPr>
      <w:r w:rsidRPr="00F649F8">
        <w:rPr>
          <w:rFonts w:ascii="Century" w:hAnsi="Century"/>
          <w:sz w:val="32"/>
          <w:szCs w:val="32"/>
        </w:rPr>
        <w:t>м. Городок</w:t>
      </w:r>
    </w:p>
    <w:p w14:paraId="75FCA83A" w14:textId="77777777" w:rsidR="009366CA" w:rsidRPr="00F649F8" w:rsidRDefault="009366CA">
      <w:pPr>
        <w:suppressAutoHyphens w:val="0"/>
        <w:spacing w:after="0" w:line="240" w:lineRule="auto"/>
        <w:rPr>
          <w:rFonts w:ascii="Century" w:hAnsi="Century"/>
          <w:sz w:val="32"/>
          <w:szCs w:val="32"/>
        </w:rPr>
      </w:pPr>
      <w:r w:rsidRPr="00F649F8">
        <w:rPr>
          <w:rFonts w:ascii="Century" w:hAnsi="Century"/>
          <w:sz w:val="32"/>
          <w:szCs w:val="32"/>
        </w:rPr>
        <w:br w:type="page"/>
      </w:r>
    </w:p>
    <w:p w14:paraId="1D5234C1" w14:textId="77777777" w:rsidR="009366CA" w:rsidRPr="00F649F8" w:rsidRDefault="009366CA" w:rsidP="009366CA">
      <w:pPr>
        <w:jc w:val="center"/>
        <w:rPr>
          <w:rFonts w:ascii="Century" w:hAnsi="Century"/>
          <w:b/>
          <w:bCs/>
          <w:sz w:val="24"/>
          <w:szCs w:val="24"/>
        </w:rPr>
      </w:pPr>
      <w:r w:rsidRPr="00F649F8">
        <w:rPr>
          <w:rFonts w:ascii="Century" w:hAnsi="Century"/>
          <w:b/>
          <w:bCs/>
          <w:sz w:val="24"/>
          <w:szCs w:val="24"/>
        </w:rPr>
        <w:lastRenderedPageBreak/>
        <w:t>Загальна інформація</w:t>
      </w:r>
    </w:p>
    <w:p w14:paraId="75BE8276" w14:textId="77777777" w:rsidR="009366CA" w:rsidRPr="00F649F8" w:rsidRDefault="009366CA" w:rsidP="009366CA">
      <w:pPr>
        <w:rPr>
          <w:rFonts w:ascii="Century" w:hAnsi="Century"/>
          <w:sz w:val="24"/>
          <w:szCs w:val="24"/>
        </w:rPr>
      </w:pPr>
      <w:r w:rsidRPr="00F649F8">
        <w:rPr>
          <w:rFonts w:ascii="Century" w:hAnsi="Century"/>
          <w:sz w:val="24"/>
          <w:szCs w:val="24"/>
        </w:rPr>
        <w:t>Державна служба України з безпеки на транспорті (</w:t>
      </w:r>
      <w:proofErr w:type="spellStart"/>
      <w:r w:rsidRPr="00F649F8">
        <w:rPr>
          <w:rFonts w:ascii="Century" w:hAnsi="Century"/>
          <w:sz w:val="24"/>
          <w:szCs w:val="24"/>
        </w:rPr>
        <w:t>Укртрансбезпека</w:t>
      </w:r>
      <w:proofErr w:type="spellEnd"/>
      <w:r w:rsidRPr="00F649F8">
        <w:rPr>
          <w:rFonts w:ascii="Century" w:hAnsi="Century"/>
          <w:sz w:val="24"/>
          <w:szCs w:val="24"/>
        </w:rPr>
        <w:t xml:space="preserve">) є центральним органом виконавчої влади, який реалізує державну політику з питань безпеки на наземному транспорті. </w:t>
      </w:r>
      <w:proofErr w:type="spellStart"/>
      <w:r w:rsidRPr="00F649F8">
        <w:rPr>
          <w:rFonts w:ascii="Century" w:hAnsi="Century"/>
          <w:sz w:val="24"/>
          <w:szCs w:val="24"/>
        </w:rPr>
        <w:t>Укртрансбезпека</w:t>
      </w:r>
      <w:proofErr w:type="spellEnd"/>
      <w:r w:rsidRPr="00F649F8">
        <w:rPr>
          <w:rFonts w:ascii="Century" w:hAnsi="Century"/>
          <w:sz w:val="24"/>
          <w:szCs w:val="24"/>
        </w:rPr>
        <w:t xml:space="preserve"> здійснює свої повноваження безпосередньо через утворені, в установленому порядку, територіальні органи. З грудня 2021 року по серпень 2023 року на території Городоцької міської територіальної громади здійснюють свою діяльність наступні підрозділи Державної служби України з безпеки на транспорті:</w:t>
      </w:r>
    </w:p>
    <w:p w14:paraId="289FEB78" w14:textId="77777777" w:rsidR="009366CA" w:rsidRPr="00F649F8" w:rsidRDefault="009366CA" w:rsidP="009366CA">
      <w:pPr>
        <w:rPr>
          <w:rFonts w:ascii="Century" w:hAnsi="Century"/>
          <w:sz w:val="24"/>
          <w:szCs w:val="24"/>
        </w:rPr>
      </w:pPr>
      <w:r w:rsidRPr="00F649F8">
        <w:rPr>
          <w:rFonts w:ascii="Century" w:hAnsi="Century"/>
          <w:sz w:val="24"/>
          <w:szCs w:val="24"/>
        </w:rPr>
        <w:t>1). Відділ державного нагляду (контролю) у Львівській області;</w:t>
      </w:r>
    </w:p>
    <w:p w14:paraId="1A192526" w14:textId="77777777" w:rsidR="009366CA" w:rsidRPr="00F649F8" w:rsidRDefault="009366CA" w:rsidP="009366CA">
      <w:pPr>
        <w:rPr>
          <w:rFonts w:ascii="Century" w:hAnsi="Century"/>
          <w:sz w:val="24"/>
          <w:szCs w:val="24"/>
        </w:rPr>
      </w:pPr>
      <w:r w:rsidRPr="00F649F8">
        <w:rPr>
          <w:rFonts w:ascii="Century" w:hAnsi="Century"/>
          <w:sz w:val="24"/>
          <w:szCs w:val="24"/>
        </w:rPr>
        <w:t>2). Відділ надання адміністративних послуг  у Львівській області Департаменту надання адміністративних послуг на наземному транспорті.</w:t>
      </w:r>
    </w:p>
    <w:p w14:paraId="51B2F261" w14:textId="77777777" w:rsidR="009366CA" w:rsidRPr="00F649F8" w:rsidRDefault="009366CA" w:rsidP="009366CA">
      <w:pPr>
        <w:rPr>
          <w:rFonts w:ascii="Century" w:hAnsi="Century"/>
          <w:sz w:val="24"/>
          <w:szCs w:val="24"/>
        </w:rPr>
      </w:pPr>
      <w:r w:rsidRPr="00F649F8">
        <w:rPr>
          <w:rFonts w:ascii="Century" w:hAnsi="Century"/>
          <w:sz w:val="24"/>
          <w:szCs w:val="24"/>
        </w:rPr>
        <w:t>Основними завдання територіальних органів є: здійснення реалізації державної політики з питань безпеки на автомобільному транспорті загального користування, міському електричному та залізничному транспорті; здійснення державного нагляду (контролю) за безпекою на транспорті; проведення габаритно-вагового контролю транспортних засобів на автомобільних шляхах загального користування; забезпечення в межах повноважень надання адміністративних послуг.</w:t>
      </w:r>
    </w:p>
    <w:p w14:paraId="59094954" w14:textId="77777777" w:rsidR="009366CA" w:rsidRPr="00F649F8" w:rsidRDefault="009366CA" w:rsidP="009366CA">
      <w:pPr>
        <w:rPr>
          <w:rFonts w:ascii="Century" w:hAnsi="Century"/>
          <w:sz w:val="24"/>
          <w:szCs w:val="24"/>
        </w:rPr>
      </w:pPr>
      <w:r w:rsidRPr="00F649F8">
        <w:rPr>
          <w:rFonts w:ascii="Century" w:hAnsi="Century"/>
          <w:sz w:val="24"/>
          <w:szCs w:val="24"/>
        </w:rPr>
        <w:t>Також однією з функцій Відділу надання адміністративних послуг є оформлення та видача дозволів на поїздку територією іноземних держав під час виконання перевезень пасажирів та вантажів автомобільним транспортом у міжнародному сполученні, відповідно до вимог наказу Міністерства транспорту України від 20.08.2004 №757 «Про впорядкування системи оформлення, видачі, використання та обліку дозволів на міжнародні перевезення пасажирів і вантажів автомобільним транспортом» (зі змінами).</w:t>
      </w:r>
    </w:p>
    <w:p w14:paraId="544F1067" w14:textId="77777777" w:rsidR="009366CA" w:rsidRPr="00F649F8" w:rsidRDefault="009366CA" w:rsidP="009366CA">
      <w:pPr>
        <w:rPr>
          <w:rFonts w:ascii="Century" w:hAnsi="Century"/>
          <w:sz w:val="24"/>
          <w:szCs w:val="24"/>
        </w:rPr>
      </w:pPr>
      <w:r w:rsidRPr="00F649F8">
        <w:rPr>
          <w:rFonts w:ascii="Century" w:hAnsi="Century"/>
          <w:sz w:val="24"/>
          <w:szCs w:val="24"/>
        </w:rPr>
        <w:t xml:space="preserve">Видача дозвільних документів здійснюється в пункті видачі дозволів (ПВД «Львів»), що знаходиться за </w:t>
      </w:r>
      <w:proofErr w:type="spellStart"/>
      <w:r w:rsidRPr="00F649F8">
        <w:rPr>
          <w:rFonts w:ascii="Century" w:hAnsi="Century"/>
          <w:sz w:val="24"/>
          <w:szCs w:val="24"/>
        </w:rPr>
        <w:t>адресою</w:t>
      </w:r>
      <w:proofErr w:type="spellEnd"/>
      <w:r w:rsidRPr="00F649F8">
        <w:rPr>
          <w:rFonts w:ascii="Century" w:hAnsi="Century"/>
          <w:sz w:val="24"/>
          <w:szCs w:val="24"/>
        </w:rPr>
        <w:t xml:space="preserve"> м. Городок, вул. Львівська, 659 а/2. </w:t>
      </w:r>
    </w:p>
    <w:p w14:paraId="2A27B2DB" w14:textId="77777777" w:rsidR="009366CA" w:rsidRPr="00F649F8" w:rsidRDefault="009366CA" w:rsidP="009366CA">
      <w:pPr>
        <w:jc w:val="center"/>
        <w:rPr>
          <w:rFonts w:ascii="Century" w:hAnsi="Century"/>
          <w:b/>
          <w:bCs/>
          <w:sz w:val="24"/>
          <w:szCs w:val="24"/>
        </w:rPr>
      </w:pPr>
      <w:r w:rsidRPr="00F649F8">
        <w:rPr>
          <w:rFonts w:ascii="Century" w:hAnsi="Century"/>
          <w:b/>
          <w:bCs/>
          <w:sz w:val="24"/>
          <w:szCs w:val="24"/>
        </w:rPr>
        <w:t>Визначення мети</w:t>
      </w:r>
    </w:p>
    <w:p w14:paraId="500537BA" w14:textId="77777777" w:rsidR="009366CA" w:rsidRPr="00F649F8" w:rsidRDefault="009366CA" w:rsidP="009366CA">
      <w:pPr>
        <w:rPr>
          <w:rFonts w:ascii="Century" w:hAnsi="Century"/>
          <w:sz w:val="24"/>
          <w:szCs w:val="24"/>
        </w:rPr>
      </w:pPr>
      <w:r w:rsidRPr="00F649F8">
        <w:rPr>
          <w:rFonts w:ascii="Century" w:hAnsi="Century"/>
          <w:sz w:val="24"/>
          <w:szCs w:val="24"/>
        </w:rPr>
        <w:t xml:space="preserve">Метою Програми є зниження в області рівня аварійності та ступеня тяжкості наслідків дорожнього транспортних пригод, зменшення соціально- економічних втрат від дорожньо-транспортного травматизму, запровадження ефективної системи управління безпекою дорожнього руху для забезпечення захисту життя та здоров’я населення, а також створення безпечних комфортних умов руху транспортних засобів, пішоходів та інших учасників дорожнього руху на </w:t>
      </w:r>
      <w:proofErr w:type="spellStart"/>
      <w:r w:rsidRPr="00F649F8">
        <w:rPr>
          <w:rFonts w:ascii="Century" w:hAnsi="Century"/>
          <w:sz w:val="24"/>
          <w:szCs w:val="24"/>
        </w:rPr>
        <w:t>вулично</w:t>
      </w:r>
      <w:proofErr w:type="spellEnd"/>
      <w:r w:rsidRPr="00F649F8">
        <w:rPr>
          <w:rFonts w:ascii="Century" w:hAnsi="Century"/>
          <w:sz w:val="24"/>
          <w:szCs w:val="24"/>
        </w:rPr>
        <w:t>-дорожній мережі.</w:t>
      </w:r>
    </w:p>
    <w:p w14:paraId="7337AEF0" w14:textId="77777777" w:rsidR="009366CA" w:rsidRPr="00F649F8" w:rsidRDefault="009366CA" w:rsidP="009366CA">
      <w:pPr>
        <w:rPr>
          <w:rFonts w:ascii="Century" w:hAnsi="Century"/>
          <w:sz w:val="24"/>
          <w:szCs w:val="24"/>
        </w:rPr>
      </w:pPr>
      <w:r w:rsidRPr="00F649F8">
        <w:rPr>
          <w:rFonts w:ascii="Century" w:hAnsi="Century"/>
          <w:sz w:val="24"/>
          <w:szCs w:val="24"/>
        </w:rPr>
        <w:t xml:space="preserve">Програма розроблена з метою покращення функціонування територіального органу </w:t>
      </w:r>
      <w:proofErr w:type="spellStart"/>
      <w:r w:rsidRPr="00F649F8">
        <w:rPr>
          <w:rFonts w:ascii="Century" w:hAnsi="Century"/>
          <w:sz w:val="24"/>
          <w:szCs w:val="24"/>
        </w:rPr>
        <w:t>Укртрансбезпеки</w:t>
      </w:r>
      <w:proofErr w:type="spellEnd"/>
      <w:r w:rsidRPr="00F649F8">
        <w:rPr>
          <w:rFonts w:ascii="Century" w:hAnsi="Century"/>
          <w:sz w:val="24"/>
          <w:szCs w:val="24"/>
        </w:rPr>
        <w:t xml:space="preserve"> у Львівській області, однією, із основних функцій якого є здійснення реалізації державної політики з питань безпеки на автомобільному </w:t>
      </w:r>
      <w:r w:rsidRPr="00F649F8">
        <w:rPr>
          <w:rFonts w:ascii="Century" w:hAnsi="Century"/>
          <w:sz w:val="24"/>
          <w:szCs w:val="24"/>
        </w:rPr>
        <w:lastRenderedPageBreak/>
        <w:t>транспорті загального користування, міському електричному та залізничному транспорті, державного нагляду (контролю) за безпекою на автомобільному, міському електричному та залізничному транспорті, збереження автомобільних доріг області під час виконання заходів нагляду та контролю за дотриманням перевізниками законодавства про автомобільний транспорт, в тому числі габаритно-вагових параметрів, поліпшення якості надання адміністративних послуг, мінімізації часу видачі дозвільних документів у сфері транспортних перевезень.</w:t>
      </w:r>
    </w:p>
    <w:p w14:paraId="3A3F1B42" w14:textId="7A267197" w:rsidR="009366CA" w:rsidRPr="00F649F8" w:rsidRDefault="009366CA" w:rsidP="00F649F8">
      <w:pPr>
        <w:jc w:val="center"/>
        <w:rPr>
          <w:rFonts w:ascii="Century" w:hAnsi="Century"/>
          <w:b/>
          <w:bCs/>
          <w:sz w:val="24"/>
          <w:szCs w:val="24"/>
        </w:rPr>
      </w:pPr>
      <w:r w:rsidRPr="00F649F8">
        <w:rPr>
          <w:rFonts w:ascii="Century" w:hAnsi="Century"/>
          <w:b/>
          <w:bCs/>
          <w:sz w:val="24"/>
          <w:szCs w:val="24"/>
        </w:rPr>
        <w:t>Обґрунтування шляхів і засобів розв’язання проблеми, обсяг та джерело фінансування; строки та етапи виконання програми</w:t>
      </w:r>
    </w:p>
    <w:p w14:paraId="22058660" w14:textId="77777777" w:rsidR="009366CA" w:rsidRPr="00F649F8" w:rsidRDefault="009366CA" w:rsidP="009366CA">
      <w:pPr>
        <w:rPr>
          <w:rFonts w:ascii="Century" w:hAnsi="Century"/>
          <w:sz w:val="24"/>
          <w:szCs w:val="24"/>
        </w:rPr>
      </w:pPr>
      <w:r w:rsidRPr="00F649F8">
        <w:rPr>
          <w:rFonts w:ascii="Century" w:hAnsi="Century"/>
          <w:sz w:val="24"/>
          <w:szCs w:val="24"/>
        </w:rPr>
        <w:t>Для розв’язання проблеми покращення функціонування територіального органу необхідно дотримуватись принципів планування та послідовності, застосовувати цільове пріоритетне спрямування бюджетних коштів для вирішення першочергових завдань.</w:t>
      </w:r>
    </w:p>
    <w:p w14:paraId="4900CAB8" w14:textId="77777777" w:rsidR="009366CA" w:rsidRPr="00F649F8" w:rsidRDefault="009366CA" w:rsidP="009366CA">
      <w:pPr>
        <w:rPr>
          <w:rFonts w:ascii="Century" w:hAnsi="Century"/>
          <w:sz w:val="24"/>
          <w:szCs w:val="24"/>
        </w:rPr>
      </w:pPr>
      <w:r w:rsidRPr="00F649F8">
        <w:rPr>
          <w:rFonts w:ascii="Century" w:hAnsi="Century"/>
          <w:sz w:val="24"/>
          <w:szCs w:val="24"/>
        </w:rPr>
        <w:t>Серед основних шляхів покращення функціонування територіального органу є:</w:t>
      </w:r>
    </w:p>
    <w:p w14:paraId="3E6DD760" w14:textId="77777777" w:rsidR="009366CA" w:rsidRPr="00F649F8" w:rsidRDefault="009366CA" w:rsidP="009366CA">
      <w:pPr>
        <w:rPr>
          <w:rFonts w:ascii="Century" w:hAnsi="Century"/>
          <w:sz w:val="24"/>
          <w:szCs w:val="24"/>
        </w:rPr>
      </w:pPr>
      <w:r w:rsidRPr="00F649F8">
        <w:rPr>
          <w:rFonts w:ascii="Century" w:hAnsi="Century"/>
          <w:sz w:val="24"/>
          <w:szCs w:val="24"/>
        </w:rPr>
        <w:t>проведення контролю за додержанням перевізниками вимог законодавства про автомобільний транспорт, інших нормативно-правових документів в питань безпеки дорожнього руху, в тому числі габаритно- вагового контролю;</w:t>
      </w:r>
    </w:p>
    <w:p w14:paraId="16EC523F" w14:textId="77777777" w:rsidR="009366CA" w:rsidRPr="00F649F8" w:rsidRDefault="009366CA" w:rsidP="009366CA">
      <w:pPr>
        <w:rPr>
          <w:rFonts w:ascii="Century" w:hAnsi="Century"/>
          <w:sz w:val="24"/>
          <w:szCs w:val="24"/>
        </w:rPr>
      </w:pPr>
      <w:r w:rsidRPr="00F649F8">
        <w:rPr>
          <w:rFonts w:ascii="Century" w:hAnsi="Century"/>
          <w:sz w:val="24"/>
          <w:szCs w:val="24"/>
        </w:rPr>
        <w:t>проведення заходів щодо удосконалення роботи з питань забезпечення безаварійної роботи транспортних засобів;</w:t>
      </w:r>
    </w:p>
    <w:p w14:paraId="031C0299" w14:textId="77777777" w:rsidR="009366CA" w:rsidRPr="00F649F8" w:rsidRDefault="009366CA" w:rsidP="009366CA">
      <w:pPr>
        <w:rPr>
          <w:rFonts w:ascii="Century" w:hAnsi="Century"/>
          <w:sz w:val="24"/>
          <w:szCs w:val="24"/>
        </w:rPr>
      </w:pPr>
      <w:r w:rsidRPr="00F649F8">
        <w:rPr>
          <w:rFonts w:ascii="Century" w:hAnsi="Century"/>
          <w:sz w:val="24"/>
          <w:szCs w:val="24"/>
        </w:rPr>
        <w:t>проведення заходів, спрямованих на забезпечення безпеки дорожнього руху;</w:t>
      </w:r>
    </w:p>
    <w:p w14:paraId="649C5489" w14:textId="77777777" w:rsidR="009366CA" w:rsidRPr="00F649F8" w:rsidRDefault="009366CA" w:rsidP="009366CA">
      <w:pPr>
        <w:rPr>
          <w:rFonts w:ascii="Century" w:hAnsi="Century"/>
          <w:sz w:val="24"/>
          <w:szCs w:val="24"/>
        </w:rPr>
      </w:pPr>
      <w:r w:rsidRPr="00F649F8">
        <w:rPr>
          <w:rFonts w:ascii="Century" w:hAnsi="Century"/>
          <w:sz w:val="24"/>
          <w:szCs w:val="24"/>
        </w:rPr>
        <w:t>швидке та якісне надання дозвільних документів на здійснення перевезень пасажирів та вантажів у міжнародному сполученні;</w:t>
      </w:r>
    </w:p>
    <w:p w14:paraId="5C640B60" w14:textId="77777777" w:rsidR="009366CA" w:rsidRPr="00F649F8" w:rsidRDefault="009366CA" w:rsidP="009366CA">
      <w:pPr>
        <w:rPr>
          <w:rFonts w:ascii="Century" w:hAnsi="Century"/>
          <w:sz w:val="24"/>
          <w:szCs w:val="24"/>
        </w:rPr>
      </w:pPr>
      <w:r w:rsidRPr="00F649F8">
        <w:rPr>
          <w:rFonts w:ascii="Century" w:hAnsi="Century"/>
          <w:sz w:val="24"/>
          <w:szCs w:val="24"/>
        </w:rPr>
        <w:t>надання практичної та методичної допомоги підприємствам, установам та організаціям у вирішенні питання забезпечення безпечного перевезення пасажирів та вантажів автомобільними дорогами загального користування.</w:t>
      </w:r>
    </w:p>
    <w:tbl>
      <w:tblPr>
        <w:tblW w:w="9351" w:type="dxa"/>
        <w:tblLayout w:type="fixed"/>
        <w:tblCellMar>
          <w:left w:w="10" w:type="dxa"/>
          <w:right w:w="10" w:type="dxa"/>
        </w:tblCellMar>
        <w:tblLook w:val="0000" w:firstRow="0" w:lastRow="0" w:firstColumn="0" w:lastColumn="0" w:noHBand="0" w:noVBand="0"/>
      </w:tblPr>
      <w:tblGrid>
        <w:gridCol w:w="4957"/>
        <w:gridCol w:w="1559"/>
        <w:gridCol w:w="2835"/>
      </w:tblGrid>
      <w:tr w:rsidR="009366CA" w:rsidRPr="009366CA" w14:paraId="08EFB49D" w14:textId="77777777" w:rsidTr="009366CA">
        <w:trPr>
          <w:trHeight w:hRule="exact" w:val="1632"/>
        </w:trPr>
        <w:tc>
          <w:tcPr>
            <w:tcW w:w="4957" w:type="dxa"/>
            <w:tcBorders>
              <w:top w:val="single" w:sz="4" w:space="0" w:color="auto"/>
              <w:left w:val="single" w:sz="4" w:space="0" w:color="auto"/>
            </w:tcBorders>
            <w:shd w:val="clear" w:color="auto" w:fill="FFFFFF"/>
            <w:vAlign w:val="center"/>
          </w:tcPr>
          <w:p w14:paraId="6D36B3CA" w14:textId="77777777" w:rsidR="009366CA" w:rsidRPr="009366CA" w:rsidRDefault="009366CA" w:rsidP="009366CA">
            <w:pPr>
              <w:rPr>
                <w:rFonts w:ascii="Century" w:hAnsi="Century"/>
                <w:sz w:val="24"/>
                <w:szCs w:val="24"/>
              </w:rPr>
            </w:pPr>
            <w:r w:rsidRPr="009366CA">
              <w:rPr>
                <w:rFonts w:ascii="Century" w:hAnsi="Century"/>
                <w:sz w:val="24"/>
                <w:szCs w:val="24"/>
              </w:rPr>
              <w:t>Орієнтовний обсяг коштів, які пропонується залучити на виконання Програми</w:t>
            </w:r>
          </w:p>
        </w:tc>
        <w:tc>
          <w:tcPr>
            <w:tcW w:w="1559" w:type="dxa"/>
            <w:tcBorders>
              <w:top w:val="single" w:sz="4" w:space="0" w:color="auto"/>
              <w:left w:val="single" w:sz="4" w:space="0" w:color="auto"/>
            </w:tcBorders>
            <w:shd w:val="clear" w:color="auto" w:fill="FFFFFF"/>
            <w:vAlign w:val="center"/>
          </w:tcPr>
          <w:p w14:paraId="669C3521" w14:textId="77777777" w:rsidR="009366CA" w:rsidRPr="009366CA" w:rsidRDefault="009366CA" w:rsidP="009366CA">
            <w:pPr>
              <w:rPr>
                <w:rFonts w:ascii="Century" w:hAnsi="Century"/>
                <w:sz w:val="24"/>
                <w:szCs w:val="24"/>
              </w:rPr>
            </w:pPr>
            <w:r w:rsidRPr="009366CA">
              <w:rPr>
                <w:rFonts w:ascii="Century" w:hAnsi="Century"/>
                <w:sz w:val="24"/>
                <w:szCs w:val="24"/>
              </w:rPr>
              <w:t>2023 рік тис. грн.</w:t>
            </w:r>
          </w:p>
        </w:tc>
        <w:tc>
          <w:tcPr>
            <w:tcW w:w="2835" w:type="dxa"/>
            <w:tcBorders>
              <w:top w:val="single" w:sz="4" w:space="0" w:color="auto"/>
              <w:left w:val="single" w:sz="4" w:space="0" w:color="auto"/>
              <w:right w:val="single" w:sz="4" w:space="0" w:color="auto"/>
            </w:tcBorders>
            <w:shd w:val="clear" w:color="auto" w:fill="FFFFFF"/>
            <w:vAlign w:val="bottom"/>
          </w:tcPr>
          <w:p w14:paraId="11AF30CC" w14:textId="77777777" w:rsidR="009366CA" w:rsidRPr="009366CA" w:rsidRDefault="009366CA" w:rsidP="009366CA">
            <w:pPr>
              <w:rPr>
                <w:rFonts w:ascii="Century" w:hAnsi="Century"/>
                <w:sz w:val="24"/>
                <w:szCs w:val="24"/>
              </w:rPr>
            </w:pPr>
            <w:r w:rsidRPr="009366CA">
              <w:rPr>
                <w:rFonts w:ascii="Century" w:hAnsi="Century"/>
                <w:sz w:val="24"/>
                <w:szCs w:val="24"/>
              </w:rPr>
              <w:t>Усього витрат на виконання Програми, тис. грн.</w:t>
            </w:r>
          </w:p>
        </w:tc>
      </w:tr>
      <w:tr w:rsidR="009366CA" w:rsidRPr="009366CA" w14:paraId="15ABF85D" w14:textId="77777777" w:rsidTr="009366CA">
        <w:trPr>
          <w:trHeight w:hRule="exact" w:val="658"/>
        </w:trPr>
        <w:tc>
          <w:tcPr>
            <w:tcW w:w="4957" w:type="dxa"/>
            <w:tcBorders>
              <w:top w:val="single" w:sz="4" w:space="0" w:color="auto"/>
              <w:left w:val="single" w:sz="4" w:space="0" w:color="auto"/>
            </w:tcBorders>
            <w:shd w:val="clear" w:color="auto" w:fill="FFFFFF"/>
          </w:tcPr>
          <w:p w14:paraId="6EF0AED8" w14:textId="77777777" w:rsidR="009366CA" w:rsidRPr="009366CA" w:rsidRDefault="009366CA" w:rsidP="009366CA">
            <w:pPr>
              <w:rPr>
                <w:rFonts w:ascii="Century" w:hAnsi="Century"/>
                <w:sz w:val="24"/>
                <w:szCs w:val="24"/>
              </w:rPr>
            </w:pPr>
            <w:r w:rsidRPr="009366CA">
              <w:rPr>
                <w:rFonts w:ascii="Century" w:hAnsi="Century"/>
                <w:sz w:val="24"/>
                <w:szCs w:val="24"/>
              </w:rPr>
              <w:t>Обсяг ресурсів, втому числі:</w:t>
            </w:r>
          </w:p>
        </w:tc>
        <w:tc>
          <w:tcPr>
            <w:tcW w:w="1559" w:type="dxa"/>
            <w:tcBorders>
              <w:top w:val="single" w:sz="4" w:space="0" w:color="auto"/>
              <w:left w:val="single" w:sz="4" w:space="0" w:color="auto"/>
            </w:tcBorders>
            <w:shd w:val="clear" w:color="auto" w:fill="FFFFFF"/>
            <w:vAlign w:val="center"/>
          </w:tcPr>
          <w:p w14:paraId="22707D12" w14:textId="77777777" w:rsidR="009366CA" w:rsidRPr="009366CA" w:rsidRDefault="009366CA" w:rsidP="009366CA">
            <w:pPr>
              <w:jc w:val="center"/>
              <w:rPr>
                <w:rFonts w:ascii="Century" w:hAnsi="Century"/>
                <w:sz w:val="24"/>
                <w:szCs w:val="24"/>
              </w:rPr>
            </w:pPr>
            <w:r w:rsidRPr="009366CA">
              <w:rPr>
                <w:rFonts w:ascii="Century" w:hAnsi="Century"/>
                <w:sz w:val="24"/>
                <w:szCs w:val="24"/>
              </w:rPr>
              <w:t>50,0</w:t>
            </w:r>
          </w:p>
        </w:tc>
        <w:tc>
          <w:tcPr>
            <w:tcW w:w="2835" w:type="dxa"/>
            <w:tcBorders>
              <w:top w:val="single" w:sz="4" w:space="0" w:color="auto"/>
              <w:left w:val="single" w:sz="4" w:space="0" w:color="auto"/>
              <w:right w:val="single" w:sz="4" w:space="0" w:color="auto"/>
            </w:tcBorders>
            <w:shd w:val="clear" w:color="auto" w:fill="FFFFFF"/>
            <w:vAlign w:val="center"/>
          </w:tcPr>
          <w:p w14:paraId="507AE4E5" w14:textId="77777777" w:rsidR="009366CA" w:rsidRPr="009366CA" w:rsidRDefault="009366CA" w:rsidP="009366CA">
            <w:pPr>
              <w:jc w:val="center"/>
              <w:rPr>
                <w:rFonts w:ascii="Century" w:hAnsi="Century"/>
                <w:sz w:val="24"/>
                <w:szCs w:val="24"/>
              </w:rPr>
            </w:pPr>
            <w:r w:rsidRPr="009366CA">
              <w:rPr>
                <w:rFonts w:ascii="Century" w:hAnsi="Century"/>
                <w:sz w:val="24"/>
                <w:szCs w:val="24"/>
              </w:rPr>
              <w:t>50,0</w:t>
            </w:r>
          </w:p>
        </w:tc>
      </w:tr>
      <w:tr w:rsidR="009366CA" w:rsidRPr="009366CA" w14:paraId="5C70E800" w14:textId="77777777" w:rsidTr="009366CA">
        <w:trPr>
          <w:trHeight w:hRule="exact" w:val="667"/>
        </w:trPr>
        <w:tc>
          <w:tcPr>
            <w:tcW w:w="4957" w:type="dxa"/>
            <w:tcBorders>
              <w:top w:val="single" w:sz="4" w:space="0" w:color="auto"/>
              <w:left w:val="single" w:sz="4" w:space="0" w:color="auto"/>
              <w:bottom w:val="single" w:sz="4" w:space="0" w:color="auto"/>
            </w:tcBorders>
            <w:shd w:val="clear" w:color="auto" w:fill="FFFFFF"/>
          </w:tcPr>
          <w:p w14:paraId="0163D318" w14:textId="77777777" w:rsidR="009366CA" w:rsidRPr="009366CA" w:rsidRDefault="009366CA" w:rsidP="009366CA">
            <w:pPr>
              <w:rPr>
                <w:rFonts w:ascii="Century" w:hAnsi="Century"/>
                <w:sz w:val="24"/>
                <w:szCs w:val="24"/>
              </w:rPr>
            </w:pPr>
            <w:r w:rsidRPr="009366CA">
              <w:rPr>
                <w:rFonts w:ascii="Century" w:hAnsi="Century"/>
                <w:sz w:val="24"/>
                <w:szCs w:val="24"/>
              </w:rPr>
              <w:t>міський бюджет</w:t>
            </w:r>
          </w:p>
        </w:tc>
        <w:tc>
          <w:tcPr>
            <w:tcW w:w="1559" w:type="dxa"/>
            <w:tcBorders>
              <w:top w:val="single" w:sz="4" w:space="0" w:color="auto"/>
              <w:left w:val="single" w:sz="4" w:space="0" w:color="auto"/>
              <w:bottom w:val="single" w:sz="4" w:space="0" w:color="auto"/>
            </w:tcBorders>
            <w:shd w:val="clear" w:color="auto" w:fill="FFFFFF"/>
            <w:vAlign w:val="center"/>
          </w:tcPr>
          <w:p w14:paraId="6DA5E1E2" w14:textId="77777777" w:rsidR="009366CA" w:rsidRPr="009366CA" w:rsidRDefault="009366CA" w:rsidP="009366CA">
            <w:pPr>
              <w:ind w:left="340"/>
              <w:rPr>
                <w:rFonts w:ascii="Century" w:hAnsi="Century"/>
                <w:sz w:val="24"/>
                <w:szCs w:val="24"/>
              </w:rPr>
            </w:pPr>
            <w:r w:rsidRPr="009366CA">
              <w:rPr>
                <w:rFonts w:ascii="Century" w:hAnsi="Century"/>
                <w:sz w:val="24"/>
                <w:szCs w:val="24"/>
              </w:rPr>
              <w:t>50,0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FD794B7" w14:textId="77777777" w:rsidR="009366CA" w:rsidRPr="009366CA" w:rsidRDefault="009366CA" w:rsidP="009366CA">
            <w:pPr>
              <w:ind w:left="320"/>
              <w:rPr>
                <w:rFonts w:ascii="Century" w:hAnsi="Century"/>
                <w:sz w:val="24"/>
                <w:szCs w:val="24"/>
              </w:rPr>
            </w:pPr>
            <w:r w:rsidRPr="009366CA">
              <w:rPr>
                <w:rFonts w:ascii="Century" w:hAnsi="Century"/>
                <w:sz w:val="24"/>
                <w:szCs w:val="24"/>
              </w:rPr>
              <w:t>50,0</w:t>
            </w:r>
          </w:p>
        </w:tc>
      </w:tr>
    </w:tbl>
    <w:p w14:paraId="61F0B747" w14:textId="77777777" w:rsidR="009366CA" w:rsidRPr="00F649F8" w:rsidRDefault="009366CA" w:rsidP="009366CA">
      <w:pPr>
        <w:rPr>
          <w:rFonts w:ascii="Century" w:hAnsi="Century"/>
          <w:sz w:val="24"/>
          <w:szCs w:val="24"/>
        </w:rPr>
      </w:pPr>
    </w:p>
    <w:p w14:paraId="6AB415B4" w14:textId="77777777" w:rsidR="009366CA" w:rsidRPr="00F649F8" w:rsidRDefault="009366CA" w:rsidP="009366CA">
      <w:pPr>
        <w:rPr>
          <w:rFonts w:ascii="Century" w:hAnsi="Century"/>
          <w:sz w:val="24"/>
          <w:szCs w:val="24"/>
        </w:rPr>
      </w:pPr>
      <w:r w:rsidRPr="00F649F8">
        <w:rPr>
          <w:rFonts w:ascii="Century" w:hAnsi="Century"/>
          <w:sz w:val="24"/>
          <w:szCs w:val="24"/>
        </w:rPr>
        <w:lastRenderedPageBreak/>
        <w:t>Фінансове забезпечення Програми здійснюється за рахунок коштів міського бюджету та в межах коштів, передбачених на її виконання органами місцевого самоврядування.</w:t>
      </w:r>
    </w:p>
    <w:p w14:paraId="4948DBA5" w14:textId="77777777" w:rsidR="009366CA" w:rsidRPr="00F649F8" w:rsidRDefault="009366CA" w:rsidP="009366CA">
      <w:pPr>
        <w:rPr>
          <w:rFonts w:ascii="Century" w:hAnsi="Century"/>
          <w:sz w:val="24"/>
          <w:szCs w:val="24"/>
        </w:rPr>
      </w:pPr>
      <w:r w:rsidRPr="00F649F8">
        <w:rPr>
          <w:rFonts w:ascii="Century" w:hAnsi="Century"/>
          <w:sz w:val="24"/>
          <w:szCs w:val="24"/>
        </w:rPr>
        <w:t>Обсяг фінансування, визначених Програмою заходів протягом  2023 року, передбачається із міського бюджету, виходячи із його реальних можливостей.</w:t>
      </w:r>
    </w:p>
    <w:p w14:paraId="0B1F3571" w14:textId="77777777" w:rsidR="009366CA" w:rsidRPr="00F649F8" w:rsidRDefault="009366CA" w:rsidP="009366CA">
      <w:pPr>
        <w:rPr>
          <w:rFonts w:ascii="Century" w:hAnsi="Century"/>
          <w:sz w:val="24"/>
          <w:szCs w:val="24"/>
        </w:rPr>
      </w:pPr>
      <w:r w:rsidRPr="00F649F8">
        <w:rPr>
          <w:rFonts w:ascii="Century" w:hAnsi="Century"/>
          <w:sz w:val="24"/>
          <w:szCs w:val="24"/>
        </w:rPr>
        <w:t>Початок дії Програми - 2023 рік, закінчення - 2023 рік.</w:t>
      </w:r>
    </w:p>
    <w:p w14:paraId="4751E420" w14:textId="232D48BA" w:rsidR="009366CA" w:rsidRPr="00F649F8" w:rsidRDefault="009366CA" w:rsidP="009366CA">
      <w:pPr>
        <w:jc w:val="center"/>
        <w:rPr>
          <w:rFonts w:ascii="Century" w:hAnsi="Century"/>
          <w:b/>
          <w:bCs/>
          <w:sz w:val="24"/>
          <w:szCs w:val="24"/>
        </w:rPr>
      </w:pPr>
      <w:r w:rsidRPr="00F649F8">
        <w:rPr>
          <w:rFonts w:ascii="Century" w:hAnsi="Century"/>
          <w:b/>
          <w:bCs/>
          <w:sz w:val="24"/>
          <w:szCs w:val="24"/>
        </w:rPr>
        <w:t>Завдання та заходи Програми та результативні показники</w:t>
      </w:r>
    </w:p>
    <w:p w14:paraId="2BA982AF" w14:textId="77777777" w:rsidR="009366CA" w:rsidRPr="00F649F8" w:rsidRDefault="009366CA" w:rsidP="009366CA">
      <w:pPr>
        <w:rPr>
          <w:rFonts w:ascii="Century" w:hAnsi="Century"/>
          <w:sz w:val="24"/>
          <w:szCs w:val="24"/>
        </w:rPr>
      </w:pPr>
      <w:r w:rsidRPr="00F649F8">
        <w:rPr>
          <w:rFonts w:ascii="Century" w:hAnsi="Century"/>
          <w:sz w:val="24"/>
          <w:szCs w:val="24"/>
        </w:rPr>
        <w:t xml:space="preserve">            Основними завданнями Програми в рамках функціонування Відділу державного нагляду (контролю) у Львівській області є:</w:t>
      </w:r>
    </w:p>
    <w:p w14:paraId="2B2FA6DC" w14:textId="77777777" w:rsidR="009366CA" w:rsidRPr="00F649F8" w:rsidRDefault="009366CA" w:rsidP="009366CA">
      <w:pPr>
        <w:rPr>
          <w:rFonts w:ascii="Century" w:hAnsi="Century"/>
          <w:sz w:val="24"/>
          <w:szCs w:val="24"/>
        </w:rPr>
      </w:pPr>
      <w:r w:rsidRPr="00F649F8">
        <w:rPr>
          <w:rFonts w:ascii="Century" w:hAnsi="Century"/>
          <w:sz w:val="24"/>
          <w:szCs w:val="24"/>
        </w:rPr>
        <w:t>- здійснення контролю за додержанням перевізникам вимог актів законодавства та інших нормативних документів з безпеки дорожнього руху;</w:t>
      </w:r>
    </w:p>
    <w:p w14:paraId="5E211BDD" w14:textId="77777777" w:rsidR="009366CA" w:rsidRPr="00F649F8" w:rsidRDefault="009366CA" w:rsidP="009366CA">
      <w:pPr>
        <w:rPr>
          <w:rFonts w:ascii="Century" w:hAnsi="Century"/>
          <w:sz w:val="24"/>
          <w:szCs w:val="24"/>
        </w:rPr>
      </w:pPr>
      <w:r w:rsidRPr="00F649F8">
        <w:rPr>
          <w:rFonts w:ascii="Century" w:hAnsi="Century"/>
          <w:sz w:val="24"/>
          <w:szCs w:val="24"/>
        </w:rPr>
        <w:t>- збереження автомобільних доріг шляхом проведення ефективних заходів проведення габаритно-вагового контролю;</w:t>
      </w:r>
    </w:p>
    <w:p w14:paraId="3736D43D" w14:textId="77777777" w:rsidR="009366CA" w:rsidRPr="00F649F8" w:rsidRDefault="009366CA" w:rsidP="009366CA">
      <w:pPr>
        <w:rPr>
          <w:rFonts w:ascii="Century" w:hAnsi="Century"/>
          <w:sz w:val="24"/>
          <w:szCs w:val="24"/>
        </w:rPr>
      </w:pPr>
      <w:r w:rsidRPr="00F649F8">
        <w:rPr>
          <w:rFonts w:ascii="Century" w:hAnsi="Century"/>
          <w:sz w:val="24"/>
          <w:szCs w:val="24"/>
        </w:rPr>
        <w:t>- проведення заходів, спрямованих на забезпечення безпеки дорожнього руху</w:t>
      </w:r>
    </w:p>
    <w:p w14:paraId="4D78F1AA" w14:textId="77777777" w:rsidR="009366CA" w:rsidRPr="00F649F8" w:rsidRDefault="009366CA" w:rsidP="009366CA">
      <w:pPr>
        <w:rPr>
          <w:rFonts w:ascii="Century" w:hAnsi="Century"/>
          <w:sz w:val="24"/>
          <w:szCs w:val="24"/>
        </w:rPr>
      </w:pPr>
      <w:r w:rsidRPr="00F649F8">
        <w:rPr>
          <w:rFonts w:ascii="Century" w:hAnsi="Century"/>
          <w:sz w:val="24"/>
          <w:szCs w:val="24"/>
        </w:rPr>
        <w:t>- удосконалення ведення обліку та аналізу даних про дорожньо-транспортні пригоди.</w:t>
      </w:r>
    </w:p>
    <w:p w14:paraId="33DBE7DE" w14:textId="77777777" w:rsidR="009366CA" w:rsidRPr="00F649F8" w:rsidRDefault="009366CA" w:rsidP="009366CA">
      <w:pPr>
        <w:rPr>
          <w:rFonts w:ascii="Century" w:hAnsi="Century"/>
          <w:sz w:val="24"/>
          <w:szCs w:val="24"/>
        </w:rPr>
      </w:pPr>
      <w:r w:rsidRPr="00F649F8">
        <w:rPr>
          <w:rFonts w:ascii="Century" w:hAnsi="Century"/>
          <w:sz w:val="24"/>
          <w:szCs w:val="24"/>
        </w:rPr>
        <w:t xml:space="preserve">         Основними завданнями Програми в рамках Відділу надання адміністративних послуг у Львівській області при зверненні громадян є: </w:t>
      </w:r>
    </w:p>
    <w:p w14:paraId="165AF2B6" w14:textId="77777777" w:rsidR="009366CA" w:rsidRPr="00F649F8" w:rsidRDefault="009366CA" w:rsidP="009366CA">
      <w:pPr>
        <w:rPr>
          <w:rFonts w:ascii="Century" w:hAnsi="Century"/>
          <w:sz w:val="24"/>
          <w:szCs w:val="24"/>
        </w:rPr>
      </w:pPr>
      <w:r w:rsidRPr="00F649F8">
        <w:rPr>
          <w:rFonts w:ascii="Century" w:hAnsi="Century"/>
          <w:sz w:val="24"/>
          <w:szCs w:val="24"/>
        </w:rPr>
        <w:t>- зростання кількісних та якісних показників у процесі надання адміністративних послуг;</w:t>
      </w:r>
    </w:p>
    <w:p w14:paraId="3A1DF966" w14:textId="77777777" w:rsidR="009366CA" w:rsidRPr="00F649F8" w:rsidRDefault="009366CA" w:rsidP="009366CA">
      <w:pPr>
        <w:rPr>
          <w:rFonts w:ascii="Century" w:hAnsi="Century"/>
          <w:sz w:val="24"/>
          <w:szCs w:val="24"/>
        </w:rPr>
      </w:pPr>
      <w:r w:rsidRPr="00F649F8">
        <w:rPr>
          <w:rFonts w:ascii="Century" w:hAnsi="Century"/>
          <w:sz w:val="24"/>
          <w:szCs w:val="24"/>
        </w:rPr>
        <w:t>- забезпечення доступу для можливості безкоштовного доступу платників до мережі Інтернет;</w:t>
      </w:r>
    </w:p>
    <w:p w14:paraId="2AF58A42" w14:textId="77777777" w:rsidR="009366CA" w:rsidRPr="00F649F8" w:rsidRDefault="009366CA" w:rsidP="009366CA">
      <w:pPr>
        <w:rPr>
          <w:rFonts w:ascii="Century" w:hAnsi="Century"/>
          <w:sz w:val="24"/>
          <w:szCs w:val="24"/>
        </w:rPr>
      </w:pPr>
      <w:r w:rsidRPr="00F649F8">
        <w:rPr>
          <w:rFonts w:ascii="Century" w:hAnsi="Century"/>
          <w:sz w:val="24"/>
          <w:szCs w:val="24"/>
        </w:rPr>
        <w:t>- мінімізація часу надання послуг, зробивши їх простими, зручними та прозорими;</w:t>
      </w:r>
    </w:p>
    <w:p w14:paraId="28C5D567" w14:textId="77777777" w:rsidR="009366CA" w:rsidRPr="00F649F8" w:rsidRDefault="009366CA" w:rsidP="009366CA">
      <w:pPr>
        <w:rPr>
          <w:rFonts w:ascii="Century" w:hAnsi="Century"/>
          <w:sz w:val="24"/>
          <w:szCs w:val="24"/>
        </w:rPr>
      </w:pPr>
      <w:r w:rsidRPr="00F649F8">
        <w:rPr>
          <w:rFonts w:ascii="Century" w:hAnsi="Century"/>
          <w:sz w:val="24"/>
          <w:szCs w:val="24"/>
        </w:rPr>
        <w:t>- надання роз’яснень з питань безпеки дорожнього руху; створення зручних умов обслуговування перевізників;</w:t>
      </w:r>
    </w:p>
    <w:p w14:paraId="48989893" w14:textId="77777777" w:rsidR="009366CA" w:rsidRPr="00F649F8" w:rsidRDefault="009366CA" w:rsidP="009366CA">
      <w:pPr>
        <w:rPr>
          <w:rFonts w:ascii="Century" w:hAnsi="Century"/>
          <w:sz w:val="24"/>
          <w:szCs w:val="24"/>
        </w:rPr>
      </w:pPr>
      <w:r w:rsidRPr="00F649F8">
        <w:rPr>
          <w:rFonts w:ascii="Century" w:hAnsi="Century"/>
          <w:sz w:val="24"/>
          <w:szCs w:val="24"/>
        </w:rPr>
        <w:t>- впровадження ефективної співпраці між перевізниками та Відділами, отримання платниками повних, своєчасних та професійних консультацій щодо надання дозвільних документів.</w:t>
      </w:r>
    </w:p>
    <w:p w14:paraId="4E71517F" w14:textId="6ECC617B" w:rsidR="009366CA" w:rsidRPr="00F649F8" w:rsidRDefault="009366CA" w:rsidP="009366CA">
      <w:pPr>
        <w:jc w:val="center"/>
        <w:rPr>
          <w:rFonts w:ascii="Century" w:hAnsi="Century"/>
          <w:b/>
          <w:bCs/>
          <w:sz w:val="24"/>
          <w:szCs w:val="24"/>
        </w:rPr>
      </w:pPr>
      <w:r w:rsidRPr="00F649F8">
        <w:rPr>
          <w:rFonts w:ascii="Century" w:hAnsi="Century"/>
          <w:b/>
          <w:bCs/>
          <w:sz w:val="24"/>
          <w:szCs w:val="24"/>
        </w:rPr>
        <w:t>Очікувальні результати, ефективність Програми:</w:t>
      </w:r>
    </w:p>
    <w:p w14:paraId="6C505E2F" w14:textId="77777777" w:rsidR="009366CA" w:rsidRPr="00F649F8" w:rsidRDefault="009366CA" w:rsidP="009366CA">
      <w:pPr>
        <w:rPr>
          <w:rFonts w:ascii="Century" w:hAnsi="Century"/>
          <w:sz w:val="24"/>
          <w:szCs w:val="24"/>
        </w:rPr>
      </w:pPr>
      <w:r w:rsidRPr="00F649F8">
        <w:rPr>
          <w:rFonts w:ascii="Century" w:hAnsi="Century"/>
          <w:sz w:val="24"/>
          <w:szCs w:val="24"/>
        </w:rPr>
        <w:t>Реалізація Програми має на меті отримання протягом 2023 року позитивних результатів:</w:t>
      </w:r>
    </w:p>
    <w:p w14:paraId="623A243D" w14:textId="77777777" w:rsidR="009366CA" w:rsidRPr="00F649F8" w:rsidRDefault="009366CA" w:rsidP="009366CA">
      <w:pPr>
        <w:rPr>
          <w:rFonts w:ascii="Century" w:hAnsi="Century"/>
          <w:sz w:val="24"/>
          <w:szCs w:val="24"/>
        </w:rPr>
      </w:pPr>
      <w:r w:rsidRPr="00F649F8">
        <w:rPr>
          <w:rFonts w:ascii="Century" w:hAnsi="Century"/>
          <w:sz w:val="24"/>
          <w:szCs w:val="24"/>
        </w:rPr>
        <w:t>- збереження автомобільних доріг в області під час виконання заходів нагляду та контролю за дотриманням перевізниками габаритно- вагових параметрів.</w:t>
      </w:r>
    </w:p>
    <w:p w14:paraId="6B8D190A" w14:textId="77777777" w:rsidR="009366CA" w:rsidRPr="00F649F8" w:rsidRDefault="009366CA" w:rsidP="009366CA">
      <w:pPr>
        <w:rPr>
          <w:rFonts w:ascii="Century" w:hAnsi="Century"/>
          <w:sz w:val="24"/>
          <w:szCs w:val="24"/>
        </w:rPr>
      </w:pPr>
      <w:r w:rsidRPr="00F649F8">
        <w:rPr>
          <w:rFonts w:ascii="Century" w:hAnsi="Century"/>
          <w:sz w:val="24"/>
          <w:szCs w:val="24"/>
        </w:rPr>
        <w:lastRenderedPageBreak/>
        <w:t>- підвищення рівня правової свідомості та відповідальності учасників дорожнього руху;</w:t>
      </w:r>
    </w:p>
    <w:p w14:paraId="1F068F84" w14:textId="77777777" w:rsidR="009366CA" w:rsidRPr="00F649F8" w:rsidRDefault="009366CA" w:rsidP="009366CA">
      <w:pPr>
        <w:rPr>
          <w:rFonts w:ascii="Century" w:hAnsi="Century"/>
          <w:sz w:val="24"/>
          <w:szCs w:val="24"/>
        </w:rPr>
      </w:pPr>
      <w:r w:rsidRPr="00F649F8">
        <w:rPr>
          <w:rFonts w:ascii="Century" w:hAnsi="Century"/>
          <w:sz w:val="24"/>
          <w:szCs w:val="24"/>
        </w:rPr>
        <w:t>- покращення безпеки дорожнього руху під час здійснення міжнародних перевезень пасажирів та вантажів автомобільним транспортом;</w:t>
      </w:r>
    </w:p>
    <w:p w14:paraId="59BC9098" w14:textId="77777777" w:rsidR="009366CA" w:rsidRPr="00F649F8" w:rsidRDefault="009366CA" w:rsidP="009366CA">
      <w:pPr>
        <w:rPr>
          <w:rFonts w:ascii="Century" w:hAnsi="Century"/>
          <w:sz w:val="24"/>
          <w:szCs w:val="24"/>
        </w:rPr>
      </w:pPr>
      <w:r w:rsidRPr="00F649F8">
        <w:rPr>
          <w:rFonts w:ascii="Century" w:hAnsi="Century"/>
          <w:sz w:val="24"/>
          <w:szCs w:val="24"/>
        </w:rPr>
        <w:t>- створення більш комфортних умов для швидкого та якісного обслуговування платників адміністративних послуг з вільним доступом до мережі Інтернет;</w:t>
      </w:r>
    </w:p>
    <w:p w14:paraId="320408A9" w14:textId="77777777" w:rsidR="009366CA" w:rsidRPr="00F649F8" w:rsidRDefault="009366CA" w:rsidP="009366CA">
      <w:pPr>
        <w:rPr>
          <w:rFonts w:ascii="Century" w:hAnsi="Century"/>
          <w:sz w:val="24"/>
          <w:szCs w:val="24"/>
        </w:rPr>
      </w:pPr>
      <w:r w:rsidRPr="00F649F8">
        <w:rPr>
          <w:rFonts w:ascii="Century" w:hAnsi="Century"/>
          <w:sz w:val="24"/>
          <w:szCs w:val="24"/>
        </w:rPr>
        <w:t>- підвищення рівня обізнаності населення щодо безпеки дорожнього руху та знання Правил дорожнього руху;</w:t>
      </w:r>
    </w:p>
    <w:p w14:paraId="5FCD1562" w14:textId="77777777" w:rsidR="009366CA" w:rsidRPr="00F649F8" w:rsidRDefault="009366CA" w:rsidP="00F649F8">
      <w:pPr>
        <w:jc w:val="center"/>
        <w:rPr>
          <w:rFonts w:ascii="Century" w:hAnsi="Century"/>
          <w:b/>
          <w:bCs/>
          <w:sz w:val="24"/>
          <w:szCs w:val="24"/>
        </w:rPr>
      </w:pPr>
      <w:r w:rsidRPr="00F649F8">
        <w:rPr>
          <w:rFonts w:ascii="Century" w:hAnsi="Century"/>
          <w:b/>
          <w:bCs/>
          <w:sz w:val="24"/>
          <w:szCs w:val="24"/>
        </w:rPr>
        <w:t>Координація та контроль за ходом виконання Програми</w:t>
      </w:r>
    </w:p>
    <w:p w14:paraId="59BA3035" w14:textId="77777777" w:rsidR="009366CA" w:rsidRPr="00F649F8" w:rsidRDefault="009366CA" w:rsidP="009366CA">
      <w:pPr>
        <w:rPr>
          <w:rFonts w:ascii="Century" w:hAnsi="Century"/>
          <w:sz w:val="24"/>
          <w:szCs w:val="24"/>
        </w:rPr>
      </w:pPr>
      <w:r w:rsidRPr="00F649F8">
        <w:rPr>
          <w:rFonts w:ascii="Century" w:hAnsi="Century"/>
          <w:sz w:val="24"/>
          <w:szCs w:val="24"/>
        </w:rPr>
        <w:t>Організаційний супровід, координація та контроль діяльності щодо виконання Програми здійснюється Відділом державного нагляду (контролю) у Львівській області, постійними комісіями міської ради з питань планування, бюджету і фінансів та з питань житлово-комунального господарства, екології та благоустрою міста, комунального майна, промисловості, будівництва, транспорту, зв’язку, торговельного та побутового обслуговування населення.</w:t>
      </w:r>
    </w:p>
    <w:p w14:paraId="56D858C3" w14:textId="77777777" w:rsidR="009366CA" w:rsidRPr="00F649F8" w:rsidRDefault="009366CA" w:rsidP="00F649F8">
      <w:pPr>
        <w:jc w:val="center"/>
        <w:rPr>
          <w:rFonts w:ascii="Century" w:hAnsi="Century"/>
          <w:b/>
          <w:bCs/>
          <w:sz w:val="24"/>
          <w:szCs w:val="24"/>
        </w:rPr>
      </w:pPr>
      <w:r w:rsidRPr="00F649F8">
        <w:rPr>
          <w:rFonts w:ascii="Century" w:hAnsi="Century"/>
          <w:b/>
          <w:bCs/>
          <w:sz w:val="24"/>
          <w:szCs w:val="24"/>
        </w:rPr>
        <w:t>Основні форми контролю за реалізацією Програми:</w:t>
      </w:r>
    </w:p>
    <w:p w14:paraId="44D2262D" w14:textId="77777777" w:rsidR="009366CA" w:rsidRPr="00F649F8" w:rsidRDefault="009366CA" w:rsidP="009366CA">
      <w:pPr>
        <w:rPr>
          <w:rFonts w:ascii="Century" w:hAnsi="Century"/>
          <w:sz w:val="24"/>
          <w:szCs w:val="24"/>
        </w:rPr>
      </w:pPr>
      <w:r w:rsidRPr="00F649F8">
        <w:rPr>
          <w:rFonts w:ascii="Century" w:hAnsi="Century"/>
          <w:sz w:val="24"/>
          <w:szCs w:val="24"/>
        </w:rPr>
        <w:t>проведення моніторингу та надання узагальненої звітності про хід реалізації Програми постійній комісії міської ради з питань бюджету та фінансів. </w:t>
      </w:r>
    </w:p>
    <w:p w14:paraId="4D0F776B" w14:textId="77777777" w:rsidR="009366CA" w:rsidRPr="00F649F8" w:rsidRDefault="009366CA" w:rsidP="009366CA">
      <w:pPr>
        <w:rPr>
          <w:rFonts w:ascii="Century" w:hAnsi="Century"/>
          <w:sz w:val="24"/>
          <w:szCs w:val="24"/>
        </w:rPr>
      </w:pPr>
      <w:r w:rsidRPr="00F649F8">
        <w:rPr>
          <w:rFonts w:ascii="Century" w:hAnsi="Century"/>
          <w:sz w:val="24"/>
          <w:szCs w:val="24"/>
        </w:rPr>
        <w:t>Відділ державного нагляду (контролю) у Львівській області забезпечує взаємодію з місцевими органами виконавчої влади, органами місцевого самоврядування, установами, організаціями з питань реалізації Програми.</w:t>
      </w:r>
    </w:p>
    <w:p w14:paraId="5495A374" w14:textId="6565335D" w:rsidR="009366CA" w:rsidRPr="00F649F8" w:rsidRDefault="009366CA" w:rsidP="009366CA">
      <w:pPr>
        <w:rPr>
          <w:rFonts w:ascii="Century" w:hAnsi="Century"/>
          <w:sz w:val="24"/>
          <w:szCs w:val="24"/>
        </w:rPr>
      </w:pPr>
      <w:r w:rsidRPr="00F649F8">
        <w:rPr>
          <w:rFonts w:ascii="Century" w:hAnsi="Century"/>
          <w:sz w:val="24"/>
          <w:szCs w:val="24"/>
        </w:rPr>
        <w:t>Виконавцем програми є Відділ державного нагляду (контролю) у Львівській області. Виконавець розробляє заходи з реалізації Програми та щорічно до 10 грудня проводять звіт про виконання вищезазначених заходів.</w:t>
      </w:r>
    </w:p>
    <w:p w14:paraId="1615F95B" w14:textId="678E1FD8" w:rsidR="00F649F8" w:rsidRPr="00F649F8" w:rsidRDefault="00F649F8" w:rsidP="009366CA">
      <w:pPr>
        <w:rPr>
          <w:rFonts w:ascii="Century" w:hAnsi="Century"/>
          <w:b/>
          <w:bCs/>
          <w:sz w:val="24"/>
          <w:szCs w:val="24"/>
        </w:rPr>
      </w:pPr>
      <w:r w:rsidRPr="00F649F8">
        <w:rPr>
          <w:rFonts w:ascii="Century" w:hAnsi="Century"/>
          <w:b/>
          <w:bCs/>
          <w:sz w:val="24"/>
          <w:szCs w:val="24"/>
        </w:rPr>
        <w:t>Секретар ради</w:t>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t xml:space="preserve">     Микола ЛУПІЙ</w:t>
      </w:r>
    </w:p>
    <w:p w14:paraId="52688D8D" w14:textId="77777777" w:rsidR="00F649F8" w:rsidRPr="00F649F8" w:rsidRDefault="00F649F8">
      <w:pPr>
        <w:suppressAutoHyphens w:val="0"/>
        <w:spacing w:after="0" w:line="240" w:lineRule="auto"/>
        <w:rPr>
          <w:rFonts w:ascii="Century" w:hAnsi="Century"/>
          <w:b/>
          <w:bCs/>
          <w:sz w:val="24"/>
          <w:szCs w:val="24"/>
        </w:rPr>
      </w:pPr>
      <w:r w:rsidRPr="00F649F8">
        <w:rPr>
          <w:rFonts w:ascii="Century" w:hAnsi="Century"/>
          <w:b/>
          <w:bCs/>
          <w:sz w:val="24"/>
          <w:szCs w:val="24"/>
        </w:rPr>
        <w:br w:type="page"/>
      </w:r>
    </w:p>
    <w:p w14:paraId="00A225BB" w14:textId="77777777" w:rsidR="00F649F8" w:rsidRPr="00F649F8" w:rsidRDefault="00F649F8" w:rsidP="009366CA">
      <w:pPr>
        <w:rPr>
          <w:rFonts w:ascii="Century" w:hAnsi="Century"/>
          <w:b/>
          <w:bCs/>
          <w:sz w:val="24"/>
          <w:szCs w:val="24"/>
        </w:rPr>
      </w:pPr>
    </w:p>
    <w:p w14:paraId="7E832796" w14:textId="15ABF382" w:rsidR="00F649F8" w:rsidRPr="00F649F8" w:rsidRDefault="00F649F8" w:rsidP="00F649F8">
      <w:pPr>
        <w:jc w:val="center"/>
        <w:rPr>
          <w:rFonts w:ascii="Century" w:hAnsi="Century"/>
          <w:b/>
          <w:sz w:val="24"/>
          <w:szCs w:val="24"/>
        </w:rPr>
      </w:pPr>
      <w:r w:rsidRPr="00F649F8">
        <w:rPr>
          <w:rFonts w:ascii="Century" w:hAnsi="Century"/>
          <w:b/>
          <w:sz w:val="24"/>
          <w:szCs w:val="24"/>
        </w:rPr>
        <w:t xml:space="preserve">Паспорт </w:t>
      </w:r>
      <w:r w:rsidRPr="00F649F8">
        <w:rPr>
          <w:rFonts w:ascii="Century" w:hAnsi="Century"/>
          <w:b/>
          <w:sz w:val="24"/>
          <w:szCs w:val="24"/>
        </w:rPr>
        <w:br/>
        <w:t>місцевої цільової програми</w:t>
      </w:r>
    </w:p>
    <w:p w14:paraId="7DBA6619" w14:textId="78014799" w:rsidR="00F649F8" w:rsidRPr="00F649F8" w:rsidRDefault="00F649F8" w:rsidP="00F649F8">
      <w:pPr>
        <w:rPr>
          <w:rFonts w:ascii="Century" w:hAnsi="Century"/>
          <w:sz w:val="24"/>
          <w:szCs w:val="24"/>
        </w:rPr>
      </w:pPr>
      <w:r w:rsidRPr="00F649F8">
        <w:rPr>
          <w:rFonts w:ascii="Century" w:hAnsi="Century"/>
          <w:sz w:val="24"/>
          <w:szCs w:val="24"/>
        </w:rPr>
        <w:t xml:space="preserve">1. Назва   </w:t>
      </w:r>
      <w:r w:rsidRPr="00F649F8">
        <w:rPr>
          <w:rFonts w:ascii="Century" w:hAnsi="Century"/>
          <w:bCs/>
          <w:sz w:val="24"/>
          <w:szCs w:val="24"/>
        </w:rPr>
        <w:t xml:space="preserve">Програма  </w:t>
      </w:r>
      <w:r w:rsidRPr="00F649F8">
        <w:rPr>
          <w:rFonts w:ascii="Century" w:hAnsi="Century"/>
          <w:sz w:val="24"/>
          <w:szCs w:val="24"/>
        </w:rPr>
        <w:t>забезпечення діяльності Відділу державного нагляду (контролю) у Львівській області Державної служби України з безпеки на транспорті на 2023 рік.</w:t>
      </w:r>
    </w:p>
    <w:p w14:paraId="57F080B7" w14:textId="77777777" w:rsidR="00F649F8" w:rsidRPr="00F649F8" w:rsidRDefault="00F649F8" w:rsidP="00F649F8">
      <w:pPr>
        <w:rPr>
          <w:rFonts w:ascii="Century" w:hAnsi="Century"/>
          <w:sz w:val="24"/>
          <w:szCs w:val="24"/>
        </w:rPr>
      </w:pPr>
      <w:r w:rsidRPr="00F649F8">
        <w:rPr>
          <w:rFonts w:ascii="Century" w:hAnsi="Century"/>
          <w:sz w:val="24"/>
          <w:szCs w:val="24"/>
        </w:rPr>
        <w:t xml:space="preserve">2. Замовник Відділ державного нагляду (контролю) у Львівській області Державної служби України з безпеки на транспорті    </w:t>
      </w:r>
    </w:p>
    <w:p w14:paraId="0FBD6F15" w14:textId="7047A363" w:rsidR="00F649F8" w:rsidRPr="00F649F8" w:rsidRDefault="00F649F8" w:rsidP="00F649F8">
      <w:pPr>
        <w:rPr>
          <w:rFonts w:ascii="Century" w:hAnsi="Century"/>
          <w:sz w:val="24"/>
          <w:szCs w:val="24"/>
        </w:rPr>
      </w:pPr>
      <w:r w:rsidRPr="00F649F8">
        <w:rPr>
          <w:rFonts w:ascii="Century" w:hAnsi="Century"/>
          <w:sz w:val="24"/>
          <w:szCs w:val="24"/>
        </w:rPr>
        <w:t xml:space="preserve">3. Мета підтримання у належному технічному стані транспортних засобів. </w:t>
      </w:r>
    </w:p>
    <w:p w14:paraId="52251491" w14:textId="77777777" w:rsidR="00F649F8" w:rsidRPr="00F649F8" w:rsidRDefault="00F649F8" w:rsidP="00F649F8">
      <w:pPr>
        <w:rPr>
          <w:rFonts w:ascii="Century" w:hAnsi="Century"/>
          <w:sz w:val="24"/>
          <w:szCs w:val="24"/>
        </w:rPr>
      </w:pPr>
      <w:r w:rsidRPr="00F649F8">
        <w:rPr>
          <w:rFonts w:ascii="Century" w:hAnsi="Century"/>
          <w:sz w:val="24"/>
          <w:szCs w:val="24"/>
        </w:rPr>
        <w:t xml:space="preserve">4. Початок  - 2023 рік   </w:t>
      </w:r>
    </w:p>
    <w:p w14:paraId="62FF17D5" w14:textId="77777777" w:rsidR="00F649F8" w:rsidRPr="00F649F8" w:rsidRDefault="00F649F8" w:rsidP="00F649F8">
      <w:pPr>
        <w:rPr>
          <w:rFonts w:ascii="Century" w:hAnsi="Century"/>
          <w:sz w:val="24"/>
          <w:szCs w:val="24"/>
        </w:rPr>
      </w:pPr>
      <w:r w:rsidRPr="00F649F8">
        <w:rPr>
          <w:rFonts w:ascii="Century" w:hAnsi="Century"/>
          <w:sz w:val="24"/>
          <w:szCs w:val="24"/>
        </w:rPr>
        <w:t>5. Етапи фінансування 2023 рік.</w:t>
      </w:r>
    </w:p>
    <w:p w14:paraId="57B54C30" w14:textId="77777777" w:rsidR="00F649F8" w:rsidRPr="00F649F8" w:rsidRDefault="00F649F8" w:rsidP="00F649F8">
      <w:pPr>
        <w:rPr>
          <w:rFonts w:ascii="Century" w:hAnsi="Century"/>
          <w:b/>
          <w:bCs/>
          <w:sz w:val="24"/>
          <w:szCs w:val="24"/>
        </w:rPr>
      </w:pPr>
      <w:r w:rsidRPr="00F649F8">
        <w:rPr>
          <w:rFonts w:ascii="Century" w:hAnsi="Century"/>
          <w:b/>
          <w:bCs/>
          <w:sz w:val="24"/>
          <w:szCs w:val="24"/>
        </w:rPr>
        <w:t xml:space="preserve">6. Загальні обсяги фінансування, у тому числі кошти міського бюджету (тис. грн.)  </w:t>
      </w:r>
    </w:p>
    <w:p w14:paraId="6138A0AE" w14:textId="77777777" w:rsidR="00F649F8" w:rsidRPr="00F649F8" w:rsidRDefault="00F649F8" w:rsidP="00F649F8">
      <w:pPr>
        <w:rPr>
          <w:rFonts w:ascii="Century" w:hAnsi="Century"/>
          <w:b/>
          <w:bCs/>
          <w:sz w:val="24"/>
          <w:szCs w:val="24"/>
        </w:rPr>
      </w:pPr>
      <w:r w:rsidRPr="00F649F8">
        <w:rPr>
          <w:rFonts w:ascii="Century" w:hAnsi="Century"/>
          <w:bCs/>
          <w:sz w:val="24"/>
          <w:szCs w:val="24"/>
        </w:rPr>
        <w:t>50,0 тис. гривень</w:t>
      </w:r>
      <w:r w:rsidRPr="00F649F8">
        <w:rPr>
          <w:rFonts w:ascii="Century" w:hAnsi="Century"/>
          <w:b/>
          <w:bCs/>
          <w:sz w:val="24"/>
          <w:szCs w:val="24"/>
        </w:rPr>
        <w:t xml:space="preserve"> </w:t>
      </w:r>
      <w:r w:rsidRPr="00F649F8">
        <w:rPr>
          <w:rFonts w:ascii="Century" w:hAnsi="Century"/>
          <w:sz w:val="24"/>
          <w:szCs w:val="24"/>
        </w:rPr>
        <w:t>(</w:t>
      </w:r>
      <w:proofErr w:type="spellStart"/>
      <w:r w:rsidRPr="00F649F8">
        <w:rPr>
          <w:rFonts w:ascii="Century" w:hAnsi="Century"/>
          <w:sz w:val="24"/>
          <w:szCs w:val="24"/>
        </w:rPr>
        <w:t>п’ятдесять</w:t>
      </w:r>
      <w:proofErr w:type="spellEnd"/>
      <w:r w:rsidRPr="00F649F8">
        <w:rPr>
          <w:rFonts w:ascii="Century" w:hAnsi="Century"/>
          <w:sz w:val="24"/>
          <w:szCs w:val="24"/>
        </w:rPr>
        <w:t xml:space="preserve">  тисяч  гривень).</w:t>
      </w:r>
    </w:p>
    <w:p w14:paraId="4793E83E" w14:textId="77777777" w:rsidR="00F649F8" w:rsidRPr="00F649F8" w:rsidRDefault="00F649F8" w:rsidP="00F649F8">
      <w:pPr>
        <w:rPr>
          <w:rFonts w:ascii="Century" w:hAnsi="Century"/>
          <w:sz w:val="24"/>
          <w:szCs w:val="24"/>
        </w:rPr>
      </w:pPr>
      <w:r w:rsidRPr="00F649F8">
        <w:rPr>
          <w:rFonts w:ascii="Century" w:hAnsi="Century"/>
          <w:sz w:val="24"/>
          <w:szCs w:val="24"/>
        </w:rPr>
        <w:t>7. Очікувані результати виконання програми</w:t>
      </w:r>
    </w:p>
    <w:p w14:paraId="37F86831" w14:textId="77777777" w:rsidR="00F649F8" w:rsidRPr="00F649F8" w:rsidRDefault="00F649F8" w:rsidP="00F649F8">
      <w:pPr>
        <w:rPr>
          <w:rFonts w:ascii="Century" w:hAnsi="Century"/>
          <w:sz w:val="24"/>
          <w:szCs w:val="24"/>
        </w:rPr>
      </w:pPr>
      <w:r w:rsidRPr="00F649F8">
        <w:rPr>
          <w:rFonts w:ascii="Century" w:hAnsi="Century"/>
          <w:sz w:val="24"/>
          <w:szCs w:val="24"/>
        </w:rPr>
        <w:t xml:space="preserve"> 7.1 Забезпечення оперативної готовності Відділу державного нагляду (контролю) у Львівській області Державної служби України з безпеки на транспорті до дій спрямованих на запобігання руйнуванню покриття автомобільних доріг від руху великовагових та/або великогабаритних транспортних засобів; підвищення рівня безпеки дорожнього руху .</w:t>
      </w:r>
    </w:p>
    <w:p w14:paraId="04515E00" w14:textId="77777777" w:rsidR="00F649F8" w:rsidRPr="00F649F8" w:rsidRDefault="00F649F8" w:rsidP="00F649F8">
      <w:pPr>
        <w:rPr>
          <w:rFonts w:ascii="Century" w:hAnsi="Century"/>
          <w:sz w:val="24"/>
          <w:szCs w:val="24"/>
        </w:rPr>
      </w:pPr>
      <w:r w:rsidRPr="00F649F8">
        <w:rPr>
          <w:rFonts w:ascii="Century" w:hAnsi="Century"/>
          <w:sz w:val="24"/>
          <w:szCs w:val="24"/>
        </w:rPr>
        <w:t>8. Установи, уповноважені здійснювати контроль за виконанням, терміни проведення звітності Відділ державного нагляду (контролю) у Львівській області Державної служби України з безпеки на транспорті,  міська рада .</w:t>
      </w:r>
    </w:p>
    <w:p w14:paraId="34D6A992" w14:textId="77777777" w:rsidR="00F649F8" w:rsidRPr="00F649F8" w:rsidRDefault="00F649F8" w:rsidP="009366CA">
      <w:pPr>
        <w:rPr>
          <w:rFonts w:ascii="Century" w:hAnsi="Century"/>
          <w:sz w:val="24"/>
          <w:szCs w:val="24"/>
        </w:rPr>
      </w:pPr>
    </w:p>
    <w:p w14:paraId="186060EB" w14:textId="040FEDC0" w:rsidR="00F649F8" w:rsidRPr="00F649F8" w:rsidRDefault="00F649F8" w:rsidP="009366CA">
      <w:pPr>
        <w:rPr>
          <w:rFonts w:ascii="Century" w:hAnsi="Century"/>
          <w:b/>
          <w:bCs/>
          <w:sz w:val="24"/>
          <w:szCs w:val="24"/>
        </w:rPr>
      </w:pPr>
      <w:r w:rsidRPr="00F649F8">
        <w:rPr>
          <w:rFonts w:ascii="Century" w:hAnsi="Century"/>
          <w:b/>
          <w:bCs/>
          <w:sz w:val="24"/>
          <w:szCs w:val="24"/>
        </w:rPr>
        <w:t>Секретар ради</w:t>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r>
      <w:r w:rsidRPr="00F649F8">
        <w:rPr>
          <w:rFonts w:ascii="Century" w:hAnsi="Century"/>
          <w:b/>
          <w:bCs/>
          <w:sz w:val="24"/>
          <w:szCs w:val="24"/>
        </w:rPr>
        <w:tab/>
        <w:t xml:space="preserve">     Микола ЛУПІЙ</w:t>
      </w:r>
    </w:p>
    <w:p w14:paraId="72209751" w14:textId="77777777" w:rsidR="00F649F8" w:rsidRPr="00F649F8" w:rsidRDefault="00F649F8">
      <w:pPr>
        <w:suppressAutoHyphens w:val="0"/>
        <w:spacing w:after="0" w:line="240" w:lineRule="auto"/>
        <w:rPr>
          <w:rFonts w:ascii="Century" w:hAnsi="Century"/>
          <w:b/>
          <w:bCs/>
          <w:sz w:val="24"/>
          <w:szCs w:val="24"/>
        </w:rPr>
      </w:pPr>
      <w:r w:rsidRPr="00F649F8">
        <w:rPr>
          <w:rFonts w:ascii="Century" w:hAnsi="Century"/>
          <w:b/>
          <w:bCs/>
          <w:sz w:val="24"/>
          <w:szCs w:val="24"/>
        </w:rPr>
        <w:br w:type="page"/>
      </w:r>
    </w:p>
    <w:p w14:paraId="66E2285D" w14:textId="5F1F0EF4" w:rsidR="00F649F8" w:rsidRPr="00F649F8" w:rsidRDefault="00F649F8" w:rsidP="00F649F8">
      <w:pPr>
        <w:suppressAutoHyphens w:val="0"/>
        <w:spacing w:after="0" w:line="192" w:lineRule="auto"/>
        <w:jc w:val="center"/>
        <w:rPr>
          <w:rFonts w:ascii="Century" w:eastAsia="Times New Roman" w:hAnsi="Century"/>
          <w:b/>
          <w:color w:val="auto"/>
          <w:sz w:val="24"/>
          <w:szCs w:val="24"/>
          <w:lang w:eastAsia="ru-RU"/>
        </w:rPr>
      </w:pPr>
      <w:r w:rsidRPr="00F649F8">
        <w:rPr>
          <w:rFonts w:ascii="Century" w:eastAsia="Times New Roman" w:hAnsi="Century"/>
          <w:b/>
          <w:color w:val="auto"/>
          <w:sz w:val="24"/>
          <w:szCs w:val="24"/>
          <w:lang w:eastAsia="ru-RU"/>
        </w:rPr>
        <w:lastRenderedPageBreak/>
        <w:t>Перелік</w:t>
      </w:r>
      <w:r w:rsidRPr="00F649F8">
        <w:rPr>
          <w:rFonts w:ascii="Century" w:eastAsia="Times New Roman" w:hAnsi="Century"/>
          <w:b/>
          <w:color w:val="auto"/>
          <w:sz w:val="24"/>
          <w:szCs w:val="24"/>
          <w:lang w:eastAsia="ru-RU"/>
        </w:rPr>
        <w:br/>
        <w:t xml:space="preserve">заходів програми  </w:t>
      </w:r>
    </w:p>
    <w:p w14:paraId="0D336BDA" w14:textId="77777777" w:rsidR="00F649F8" w:rsidRPr="00F649F8" w:rsidRDefault="00F649F8" w:rsidP="00F649F8">
      <w:pPr>
        <w:suppressAutoHyphens w:val="0"/>
        <w:spacing w:after="0" w:line="216" w:lineRule="auto"/>
        <w:jc w:val="center"/>
        <w:rPr>
          <w:rFonts w:ascii="Century" w:eastAsia="Times New Roman" w:hAnsi="Century"/>
          <w:bCs/>
          <w:color w:val="auto"/>
          <w:sz w:val="24"/>
          <w:szCs w:val="24"/>
          <w:lang w:eastAsia="ru-RU"/>
        </w:rPr>
      </w:pPr>
    </w:p>
    <w:p w14:paraId="08BD4B89" w14:textId="77777777" w:rsidR="00F649F8" w:rsidRPr="00F649F8" w:rsidRDefault="00F649F8" w:rsidP="00F649F8">
      <w:pPr>
        <w:suppressAutoHyphens w:val="0"/>
        <w:spacing w:after="0" w:line="216" w:lineRule="auto"/>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Назва замовника  Відділ державного нагляду (контролю) у Львівській області Державної служби України з безпеки на транспорті.</w:t>
      </w:r>
    </w:p>
    <w:p w14:paraId="6107893B" w14:textId="77777777" w:rsidR="00F649F8" w:rsidRPr="00F649F8" w:rsidRDefault="00F649F8" w:rsidP="00F649F8">
      <w:pPr>
        <w:suppressAutoHyphens w:val="0"/>
        <w:spacing w:after="0" w:line="216" w:lineRule="auto"/>
        <w:rPr>
          <w:rFonts w:ascii="Century" w:eastAsia="Times New Roman" w:hAnsi="Century"/>
          <w:bCs/>
          <w:color w:val="auto"/>
          <w:sz w:val="24"/>
          <w:szCs w:val="24"/>
          <w:lang w:eastAsia="ru-RU"/>
        </w:rPr>
      </w:pPr>
    </w:p>
    <w:p w14:paraId="79287AB1" w14:textId="20C5CB90" w:rsidR="00F649F8" w:rsidRPr="00F649F8" w:rsidRDefault="00F649F8" w:rsidP="00F649F8">
      <w:pPr>
        <w:suppressAutoHyphens w:val="0"/>
        <w:spacing w:after="0" w:line="216" w:lineRule="auto"/>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Назва програми, ким і коли затверджена Програма  забезпечення діяльності Відділу державного нагляду (контролю) у Львівській області Державної служби України з безпеки на транспорті</w:t>
      </w:r>
      <w:r>
        <w:rPr>
          <w:rFonts w:ascii="Century" w:eastAsia="Times New Roman" w:hAnsi="Century"/>
          <w:bCs/>
          <w:color w:val="auto"/>
          <w:sz w:val="24"/>
          <w:szCs w:val="24"/>
          <w:lang w:eastAsia="ru-RU"/>
        </w:rPr>
        <w:t xml:space="preserve"> на 2023 рік</w:t>
      </w:r>
      <w:r w:rsidRPr="00F649F8">
        <w:rPr>
          <w:rFonts w:ascii="Century" w:eastAsia="Times New Roman" w:hAnsi="Century"/>
          <w:bCs/>
          <w:color w:val="auto"/>
          <w:sz w:val="24"/>
          <w:szCs w:val="24"/>
          <w:lang w:eastAsia="ru-RU"/>
        </w:rPr>
        <w:t>.</w:t>
      </w:r>
    </w:p>
    <w:p w14:paraId="20F7C579"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p w14:paraId="5C5F7F75"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7"/>
        <w:gridCol w:w="1985"/>
        <w:gridCol w:w="2835"/>
      </w:tblGrid>
      <w:tr w:rsidR="00F649F8" w:rsidRPr="00F649F8" w14:paraId="34C49885" w14:textId="77777777" w:rsidTr="00F649F8">
        <w:trPr>
          <w:cantSplit/>
        </w:trPr>
        <w:tc>
          <w:tcPr>
            <w:tcW w:w="851" w:type="dxa"/>
            <w:vMerge w:val="restart"/>
            <w:vAlign w:val="center"/>
          </w:tcPr>
          <w:p w14:paraId="56A996CD"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 xml:space="preserve">№ з/п </w:t>
            </w:r>
          </w:p>
        </w:tc>
        <w:tc>
          <w:tcPr>
            <w:tcW w:w="3827" w:type="dxa"/>
            <w:vMerge w:val="restart"/>
            <w:vAlign w:val="center"/>
          </w:tcPr>
          <w:p w14:paraId="430B1482"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Найменування заходу</w:t>
            </w:r>
          </w:p>
        </w:tc>
        <w:tc>
          <w:tcPr>
            <w:tcW w:w="1985" w:type="dxa"/>
            <w:vMerge w:val="restart"/>
            <w:vAlign w:val="center"/>
          </w:tcPr>
          <w:p w14:paraId="1B1E977F" w14:textId="77777777" w:rsidR="00F649F8" w:rsidRPr="00F649F8" w:rsidRDefault="00F649F8" w:rsidP="00F649F8">
            <w:pPr>
              <w:suppressAutoHyphens w:val="0"/>
              <w:spacing w:after="0" w:line="240" w:lineRule="auto"/>
              <w:ind w:right="-108"/>
              <w:jc w:val="center"/>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Виконавець</w:t>
            </w:r>
          </w:p>
        </w:tc>
        <w:tc>
          <w:tcPr>
            <w:tcW w:w="2835" w:type="dxa"/>
          </w:tcPr>
          <w:p w14:paraId="7FA6958F"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 xml:space="preserve">Загальні обсяги фінансування, тис. грн. </w:t>
            </w:r>
          </w:p>
        </w:tc>
      </w:tr>
      <w:tr w:rsidR="00F649F8" w:rsidRPr="00F649F8" w14:paraId="7A729F31" w14:textId="77777777" w:rsidTr="00F649F8">
        <w:trPr>
          <w:cantSplit/>
          <w:trHeight w:val="289"/>
        </w:trPr>
        <w:tc>
          <w:tcPr>
            <w:tcW w:w="851" w:type="dxa"/>
            <w:vMerge/>
          </w:tcPr>
          <w:p w14:paraId="751BECAC"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tc>
        <w:tc>
          <w:tcPr>
            <w:tcW w:w="3827" w:type="dxa"/>
            <w:vMerge/>
          </w:tcPr>
          <w:p w14:paraId="4B5371D4"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tc>
        <w:tc>
          <w:tcPr>
            <w:tcW w:w="1985" w:type="dxa"/>
            <w:vMerge/>
          </w:tcPr>
          <w:p w14:paraId="5B42A8DB"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tc>
        <w:tc>
          <w:tcPr>
            <w:tcW w:w="2835" w:type="dxa"/>
            <w:vMerge w:val="restart"/>
            <w:vAlign w:val="center"/>
          </w:tcPr>
          <w:p w14:paraId="2754C768"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Усього тис. грн..</w:t>
            </w:r>
          </w:p>
        </w:tc>
      </w:tr>
      <w:tr w:rsidR="00F649F8" w:rsidRPr="00F649F8" w14:paraId="2F7DD673" w14:textId="77777777" w:rsidTr="00F649F8">
        <w:trPr>
          <w:cantSplit/>
          <w:trHeight w:val="289"/>
        </w:trPr>
        <w:tc>
          <w:tcPr>
            <w:tcW w:w="851" w:type="dxa"/>
            <w:vMerge/>
          </w:tcPr>
          <w:p w14:paraId="1A5226C5"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tc>
        <w:tc>
          <w:tcPr>
            <w:tcW w:w="3827" w:type="dxa"/>
            <w:vMerge/>
          </w:tcPr>
          <w:p w14:paraId="5CA612BB"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tc>
        <w:tc>
          <w:tcPr>
            <w:tcW w:w="1985" w:type="dxa"/>
            <w:vMerge/>
          </w:tcPr>
          <w:p w14:paraId="6A296E7E"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tc>
        <w:tc>
          <w:tcPr>
            <w:tcW w:w="2835" w:type="dxa"/>
            <w:vMerge/>
          </w:tcPr>
          <w:p w14:paraId="5280BA74"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p>
        </w:tc>
      </w:tr>
      <w:tr w:rsidR="00F649F8" w:rsidRPr="00F649F8" w14:paraId="68D582CD" w14:textId="77777777" w:rsidTr="00F649F8">
        <w:trPr>
          <w:cantSplit/>
        </w:trPr>
        <w:tc>
          <w:tcPr>
            <w:tcW w:w="851" w:type="dxa"/>
          </w:tcPr>
          <w:p w14:paraId="0998B93F" w14:textId="77777777" w:rsidR="00F649F8" w:rsidRPr="00F649F8" w:rsidRDefault="00F649F8" w:rsidP="00F649F8">
            <w:pPr>
              <w:numPr>
                <w:ilvl w:val="0"/>
                <w:numId w:val="2"/>
              </w:numPr>
              <w:tabs>
                <w:tab w:val="num" w:pos="459"/>
              </w:tabs>
              <w:suppressAutoHyphens w:val="0"/>
              <w:spacing w:after="0" w:line="240" w:lineRule="auto"/>
              <w:ind w:left="459"/>
              <w:jc w:val="both"/>
              <w:rPr>
                <w:rFonts w:ascii="Century" w:eastAsia="Times New Roman" w:hAnsi="Century"/>
                <w:bCs/>
                <w:color w:val="auto"/>
                <w:sz w:val="24"/>
                <w:szCs w:val="24"/>
                <w:lang w:eastAsia="ru-RU"/>
              </w:rPr>
            </w:pPr>
          </w:p>
        </w:tc>
        <w:tc>
          <w:tcPr>
            <w:tcW w:w="3827" w:type="dxa"/>
          </w:tcPr>
          <w:p w14:paraId="43075398" w14:textId="77777777" w:rsidR="00F649F8" w:rsidRPr="00F649F8" w:rsidRDefault="00F649F8" w:rsidP="00F649F8">
            <w:pPr>
              <w:suppressAutoHyphens w:val="0"/>
              <w:spacing w:after="0" w:line="240" w:lineRule="auto"/>
              <w:jc w:val="both"/>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 xml:space="preserve">Оплата послуг з ремонту </w:t>
            </w:r>
            <w:proofErr w:type="spellStart"/>
            <w:r w:rsidRPr="00F649F8">
              <w:rPr>
                <w:rFonts w:ascii="Century" w:eastAsia="Times New Roman" w:hAnsi="Century"/>
                <w:bCs/>
                <w:color w:val="auto"/>
                <w:sz w:val="24"/>
                <w:szCs w:val="24"/>
                <w:lang w:eastAsia="ru-RU"/>
              </w:rPr>
              <w:t>моторотранспортних</w:t>
            </w:r>
            <w:proofErr w:type="spellEnd"/>
            <w:r w:rsidRPr="00F649F8">
              <w:rPr>
                <w:rFonts w:ascii="Century" w:eastAsia="Times New Roman" w:hAnsi="Century"/>
                <w:bCs/>
                <w:color w:val="auto"/>
                <w:sz w:val="24"/>
                <w:szCs w:val="24"/>
                <w:lang w:eastAsia="ru-RU"/>
              </w:rPr>
              <w:t xml:space="preserve"> засобів та придбання супутнього обладнання, допоміжного приладдя до нього, знаряддя ручних інструментів пневматичних чи моторизованих, шкіряних та текстильних, пластмасових та гумових матеріалів для підтримання в належному стані службових автомобілів, паливно-мастильних матеріалів для безперебійного функціонування ВДН (К) у Львівській області.</w:t>
            </w:r>
          </w:p>
        </w:tc>
        <w:tc>
          <w:tcPr>
            <w:tcW w:w="1985" w:type="dxa"/>
          </w:tcPr>
          <w:p w14:paraId="0B1EC06B" w14:textId="77777777" w:rsidR="00F649F8" w:rsidRPr="00F649F8" w:rsidRDefault="00F649F8" w:rsidP="00F649F8">
            <w:pPr>
              <w:suppressAutoHyphens w:val="0"/>
              <w:spacing w:after="0" w:line="240" w:lineRule="auto"/>
              <w:jc w:val="both"/>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ВДН(К) у Львівській області ДСБТ</w:t>
            </w:r>
          </w:p>
        </w:tc>
        <w:tc>
          <w:tcPr>
            <w:tcW w:w="2835" w:type="dxa"/>
          </w:tcPr>
          <w:p w14:paraId="35C88650"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 xml:space="preserve">50,0 </w:t>
            </w:r>
          </w:p>
        </w:tc>
      </w:tr>
      <w:tr w:rsidR="00F649F8" w:rsidRPr="00F649F8" w14:paraId="3439866F" w14:textId="77777777" w:rsidTr="00F649F8">
        <w:trPr>
          <w:cantSplit/>
        </w:trPr>
        <w:tc>
          <w:tcPr>
            <w:tcW w:w="6663" w:type="dxa"/>
            <w:gridSpan w:val="3"/>
          </w:tcPr>
          <w:p w14:paraId="6207E736"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Всього</w:t>
            </w:r>
          </w:p>
        </w:tc>
        <w:tc>
          <w:tcPr>
            <w:tcW w:w="2835" w:type="dxa"/>
          </w:tcPr>
          <w:p w14:paraId="643DDC4E" w14:textId="77777777" w:rsidR="00F649F8" w:rsidRPr="00F649F8" w:rsidRDefault="00F649F8" w:rsidP="00F649F8">
            <w:pPr>
              <w:suppressAutoHyphens w:val="0"/>
              <w:spacing w:after="0" w:line="240" w:lineRule="auto"/>
              <w:jc w:val="center"/>
              <w:rPr>
                <w:rFonts w:ascii="Century" w:eastAsia="Times New Roman" w:hAnsi="Century"/>
                <w:bCs/>
                <w:color w:val="auto"/>
                <w:sz w:val="24"/>
                <w:szCs w:val="24"/>
                <w:lang w:eastAsia="ru-RU"/>
              </w:rPr>
            </w:pPr>
            <w:r w:rsidRPr="00F649F8">
              <w:rPr>
                <w:rFonts w:ascii="Century" w:eastAsia="Times New Roman" w:hAnsi="Century"/>
                <w:bCs/>
                <w:color w:val="auto"/>
                <w:sz w:val="24"/>
                <w:szCs w:val="24"/>
                <w:lang w:eastAsia="ru-RU"/>
              </w:rPr>
              <w:t>50 тис. грн.</w:t>
            </w:r>
          </w:p>
        </w:tc>
      </w:tr>
    </w:tbl>
    <w:p w14:paraId="2F08EA44" w14:textId="77777777" w:rsidR="00F649F8" w:rsidRPr="00F649F8" w:rsidRDefault="00F649F8" w:rsidP="009366CA">
      <w:pPr>
        <w:rPr>
          <w:rFonts w:ascii="Century" w:hAnsi="Century"/>
          <w:bCs/>
          <w:sz w:val="24"/>
          <w:szCs w:val="24"/>
        </w:rPr>
      </w:pPr>
    </w:p>
    <w:p w14:paraId="4CE9D9D0" w14:textId="77777777" w:rsidR="00F649F8" w:rsidRPr="00F649F8" w:rsidRDefault="00F649F8" w:rsidP="009366CA">
      <w:pPr>
        <w:rPr>
          <w:rFonts w:ascii="Century" w:hAnsi="Century"/>
          <w:bCs/>
          <w:sz w:val="24"/>
          <w:szCs w:val="24"/>
        </w:rPr>
      </w:pPr>
    </w:p>
    <w:p w14:paraId="70F9467C" w14:textId="26120726" w:rsidR="00F649F8" w:rsidRPr="00F649F8" w:rsidRDefault="00F649F8" w:rsidP="009366CA">
      <w:pPr>
        <w:rPr>
          <w:rFonts w:ascii="Century" w:hAnsi="Century"/>
          <w:b/>
          <w:sz w:val="24"/>
          <w:szCs w:val="24"/>
        </w:rPr>
      </w:pPr>
      <w:r w:rsidRPr="00F649F8">
        <w:rPr>
          <w:rFonts w:ascii="Century" w:hAnsi="Century"/>
          <w:b/>
          <w:sz w:val="24"/>
          <w:szCs w:val="24"/>
        </w:rPr>
        <w:t>Секретар ради</w:t>
      </w:r>
      <w:r w:rsidRPr="00F649F8">
        <w:rPr>
          <w:rFonts w:ascii="Century" w:hAnsi="Century"/>
          <w:b/>
          <w:sz w:val="24"/>
          <w:szCs w:val="24"/>
        </w:rPr>
        <w:tab/>
      </w:r>
      <w:r w:rsidRPr="00F649F8">
        <w:rPr>
          <w:rFonts w:ascii="Century" w:hAnsi="Century"/>
          <w:b/>
          <w:sz w:val="24"/>
          <w:szCs w:val="24"/>
        </w:rPr>
        <w:tab/>
      </w:r>
      <w:r w:rsidRPr="00F649F8">
        <w:rPr>
          <w:rFonts w:ascii="Century" w:hAnsi="Century"/>
          <w:b/>
          <w:sz w:val="24"/>
          <w:szCs w:val="24"/>
        </w:rPr>
        <w:tab/>
      </w:r>
      <w:r w:rsidRPr="00F649F8">
        <w:rPr>
          <w:rFonts w:ascii="Century" w:hAnsi="Century"/>
          <w:b/>
          <w:sz w:val="24"/>
          <w:szCs w:val="24"/>
        </w:rPr>
        <w:tab/>
      </w:r>
      <w:r w:rsidRPr="00F649F8">
        <w:rPr>
          <w:rFonts w:ascii="Century" w:hAnsi="Century"/>
          <w:b/>
          <w:sz w:val="24"/>
          <w:szCs w:val="24"/>
        </w:rPr>
        <w:tab/>
      </w:r>
      <w:r w:rsidRPr="00F649F8">
        <w:rPr>
          <w:rFonts w:ascii="Century" w:hAnsi="Century"/>
          <w:b/>
          <w:sz w:val="24"/>
          <w:szCs w:val="24"/>
        </w:rPr>
        <w:tab/>
      </w:r>
      <w:r w:rsidRPr="00F649F8">
        <w:rPr>
          <w:rFonts w:ascii="Century" w:hAnsi="Century"/>
          <w:b/>
          <w:sz w:val="24"/>
          <w:szCs w:val="24"/>
        </w:rPr>
        <w:tab/>
      </w:r>
      <w:r w:rsidRPr="00F649F8">
        <w:rPr>
          <w:rFonts w:ascii="Century" w:hAnsi="Century"/>
          <w:b/>
          <w:sz w:val="24"/>
          <w:szCs w:val="24"/>
        </w:rPr>
        <w:tab/>
        <w:t xml:space="preserve">     Микола ЛУПІЙ</w:t>
      </w:r>
    </w:p>
    <w:sectPr w:rsidR="00F649F8" w:rsidRPr="00F649F8" w:rsidSect="008C677B">
      <w:pgSz w:w="11909" w:h="16834" w:code="9"/>
      <w:pgMar w:top="1134" w:right="567" w:bottom="1134" w:left="1701" w:header="578" w:footer="578" w:gutter="0"/>
      <w:cols w:space="708"/>
      <w:titlePg/>
      <w:docGrid w:linePitch="3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10555"/>
    <w:multiLevelType w:val="hybridMultilevel"/>
    <w:tmpl w:val="C602AC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9672FFF"/>
    <w:multiLevelType w:val="hybridMultilevel"/>
    <w:tmpl w:val="07AEF4A8"/>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16cid:durableId="1139766953">
    <w:abstractNumId w:val="0"/>
  </w:num>
  <w:num w:numId="2" w16cid:durableId="1817600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6CA"/>
    <w:rsid w:val="000A680F"/>
    <w:rsid w:val="00105E57"/>
    <w:rsid w:val="001B3895"/>
    <w:rsid w:val="0032639E"/>
    <w:rsid w:val="005803F3"/>
    <w:rsid w:val="008544D7"/>
    <w:rsid w:val="008C677B"/>
    <w:rsid w:val="009366CA"/>
    <w:rsid w:val="00C02604"/>
    <w:rsid w:val="00CA4104"/>
    <w:rsid w:val="00F649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CEE8C"/>
  <w15:chartTrackingRefBased/>
  <w15:docId w15:val="{9944BAC9-AF0E-4927-A254-9B90FF47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66CA"/>
    <w:pPr>
      <w:suppressAutoHyphens/>
      <w:spacing w:after="200" w:line="276" w:lineRule="auto"/>
    </w:pPr>
    <w:rPr>
      <w:rFonts w:ascii="Calibri" w:eastAsia="Calibri" w:hAnsi="Calibri" w:cs="Times New Roman"/>
      <w:color w:val="00000A"/>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7235</Words>
  <Characters>4125</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dcterms:created xsi:type="dcterms:W3CDTF">2023-08-21T11:27:00Z</dcterms:created>
  <dcterms:modified xsi:type="dcterms:W3CDTF">2023-08-21T11:43:00Z</dcterms:modified>
</cp:coreProperties>
</file>